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Arrêté du 25 mai 2016 fixant le cadre national de la formation et les modalités conduisant à la délivrance du diplôme national de doctorat</w:t>
      </w:r>
    </w:p>
    <w:p w:rsidR="00000000" w:rsidRPr="009B4DF7" w:rsidRDefault="009B4DF7"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 mi</w:t>
      </w:r>
      <w:r>
        <w:rPr>
          <w:rFonts w:ascii="Arial" w:hAnsi="Arial" w:cs="Arial"/>
          <w:sz w:val="24"/>
          <w:szCs w:val="24"/>
        </w:rPr>
        <w:t>nistre de l’éducation nationale, de l’enseignement supérieur et de la recherche,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Vu le code de l’éducation, notamment ses articles L. 612-7, L. 613-3 à L. 613-5, L. 718-2, D. 613-1 à D. 613-7, D. 613-11 et D. 613-17 à D. 613-25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Vu le code de la reche</w:t>
      </w:r>
      <w:r>
        <w:rPr>
          <w:rFonts w:ascii="Arial" w:hAnsi="Arial" w:cs="Arial"/>
          <w:sz w:val="24"/>
          <w:szCs w:val="24"/>
        </w:rPr>
        <w:t>rche, notamment ses articles L. 412-1 et L. 412-2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Vu l’article L. 812-7 du code rural et de la pêche maritime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Vu le décret n° 94-921 du 24 octobre 1994 portant création de l’Agence bibliographique de l’enseignement supérieur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Vu le décret n° 99-318 du 20 avril 1999 portant création du Centre informatique national de l’enseignement supérieur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Vu le décret n° 2009-464 du 23 avril 2009 relatif aux doctorants contractuels des établissements publics d’enseignement supérieur ou de</w:t>
      </w:r>
      <w:r>
        <w:rPr>
          <w:rFonts w:ascii="Arial" w:hAnsi="Arial" w:cs="Arial"/>
          <w:sz w:val="24"/>
          <w:szCs w:val="24"/>
        </w:rPr>
        <w:t xml:space="preserve"> recherche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Vu l’avis du Conseil national de l’enseignement supérieur et de la recherche en date du 18 avril 2016,</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Arrête :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1</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 formation doctorale est une formation à et par la recherche et une expérience professionnelle de recherc</w:t>
      </w:r>
      <w:r>
        <w:rPr>
          <w:rFonts w:ascii="Arial" w:hAnsi="Arial" w:cs="Arial"/>
          <w:sz w:val="24"/>
          <w:szCs w:val="24"/>
        </w:rPr>
        <w:t>he. Elle conduit à la production de connaissances nouvelles.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Elle comprend un travail personnel de recherche réalisé par le doctorant. Elle est complétée par des formations complémentaires validées par l’école doctorale. Elle porte sur des travaux d’inté</w:t>
      </w:r>
      <w:r>
        <w:rPr>
          <w:rFonts w:ascii="Arial" w:hAnsi="Arial" w:cs="Arial"/>
          <w:sz w:val="24"/>
          <w:szCs w:val="24"/>
        </w:rPr>
        <w:t>rêt scientifique, économique, social, technologique ou culturel. Elle est sanctionnée par la délivrance du diplôme national de doctorat. Le diplôme, délivré par un établissement public d’enseignement supérieur accrédité, confère à son titulaire le grade et</w:t>
      </w:r>
      <w:r>
        <w:rPr>
          <w:rFonts w:ascii="Arial" w:hAnsi="Arial" w:cs="Arial"/>
          <w:sz w:val="24"/>
          <w:szCs w:val="24"/>
        </w:rPr>
        <w:t xml:space="preserve"> le titre de docteur.</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diplôme de doctorat peut s’obtenir dans le cadre de la formation initiale et de la formation tout au long de la vie. Les compétences spécifiques acquises au cours de cette formation permettent d’exercer une activité professionnel</w:t>
      </w:r>
      <w:r>
        <w:rPr>
          <w:rFonts w:ascii="Arial" w:hAnsi="Arial" w:cs="Arial"/>
          <w:sz w:val="24"/>
          <w:szCs w:val="24"/>
        </w:rPr>
        <w:t>le à l’issue du doctorat dans tous les domaines d’activités, dans le secteur public aussi bien que privé.</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 formation doctorale est organisée au sein des écoles doctorales.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Dans le cadre de la mise en </w:t>
      </w:r>
      <w:r>
        <w:rPr>
          <w:rFonts w:ascii="Arial" w:hAnsi="Arial" w:cs="Arial"/>
          <w:sz w:val="24"/>
          <w:szCs w:val="24"/>
        </w:rPr>
        <w:t>œ</w:t>
      </w:r>
      <w:r>
        <w:rPr>
          <w:rFonts w:ascii="Arial" w:hAnsi="Arial" w:cs="Arial"/>
          <w:sz w:val="24"/>
          <w:szCs w:val="24"/>
        </w:rPr>
        <w:t>uvre de la politique scientifique de site, il peu</w:t>
      </w:r>
      <w:r>
        <w:rPr>
          <w:rFonts w:ascii="Arial" w:hAnsi="Arial" w:cs="Arial"/>
          <w:sz w:val="24"/>
          <w:szCs w:val="24"/>
        </w:rPr>
        <w:t xml:space="preserve">t être créé un collège doctoral afin d’organiser à ce niveau la politique doctorale, de contribuer à sa visibilité et à la mutualisation des activités des écoles doctorales. Dans ce cas, une ou plusieurs missions des écoles doctorales, telles que définies </w:t>
      </w:r>
      <w:r>
        <w:rPr>
          <w:rFonts w:ascii="Arial" w:hAnsi="Arial" w:cs="Arial"/>
          <w:sz w:val="24"/>
          <w:szCs w:val="24"/>
        </w:rPr>
        <w:t xml:space="preserve">à l’article 3 du présent arrêté, après accord de chaque école doctorale, sont transférées au collège doctoral auquel ces </w:t>
      </w:r>
      <w:r>
        <w:rPr>
          <w:rFonts w:ascii="Arial" w:hAnsi="Arial" w:cs="Arial"/>
          <w:sz w:val="24"/>
          <w:szCs w:val="24"/>
        </w:rPr>
        <w:lastRenderedPageBreak/>
        <w:t>écoles doctorales sont associées. Les modalités de fonctionnement de ce dernier sont fixées par les établissements dont relèvent les éc</w:t>
      </w:r>
      <w:r>
        <w:rPr>
          <w:rFonts w:ascii="Arial" w:hAnsi="Arial" w:cs="Arial"/>
          <w:sz w:val="24"/>
          <w:szCs w:val="24"/>
        </w:rPr>
        <w:t>oles doctorales, membres de ce collège.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Lorsque le travail de recherche est réalisé par le doctorant pour une partie dans une unité ou une équipe de recherche rattachée à l’école doctorale dans laquelle il est inscrit et, pour la partie complémentaire, d</w:t>
      </w:r>
      <w:r>
        <w:rPr>
          <w:rFonts w:ascii="Arial" w:hAnsi="Arial" w:cs="Arial"/>
          <w:sz w:val="24"/>
          <w:szCs w:val="24"/>
        </w:rPr>
        <w:t>ans un organisme du monde socio-économique ou culturel, non partie prenante de l’école doctorale, les conditions de l’alternance des périodes de travail et de celles de recherche font l’objet d’une convention.</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Cette convention prévoit les modalités de formation, d’accompagnement matériel, pédagogique et les modalités de certification, dans le respect des exigences de qualité requises par le présent texte. Elle est signée par le doctorant, le président ou le dire</w:t>
      </w:r>
      <w:r>
        <w:rPr>
          <w:rFonts w:ascii="Arial" w:hAnsi="Arial" w:cs="Arial"/>
          <w:sz w:val="24"/>
          <w:szCs w:val="24"/>
        </w:rPr>
        <w:t>cteur de l’établissement d’inscription du doctorant, et le responsable de l’entreprise ou de l’organisme partenaire de l’alternance.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Titre Ier : ÉCOLES DOCTORALES</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Chapitre Ier : Principes</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2</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Sous la responsabilité des établissement</w:t>
      </w:r>
      <w:r>
        <w:rPr>
          <w:rFonts w:ascii="Arial" w:hAnsi="Arial" w:cs="Arial"/>
          <w:sz w:val="24"/>
          <w:szCs w:val="24"/>
        </w:rPr>
        <w:t>s accrédités, les écoles doctorales ou les collèges doctoraux organisent la formation des doctorants et les préparent à leur activité professionnelle à l’issue de la formation doctorale. Ils regroupent des unités et des équipes de recherche d’un ou de plus</w:t>
      </w:r>
      <w:r>
        <w:rPr>
          <w:rFonts w:ascii="Arial" w:hAnsi="Arial" w:cs="Arial"/>
          <w:sz w:val="24"/>
          <w:szCs w:val="24"/>
        </w:rPr>
        <w:t>ieurs établissements.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Une équipe de recherche participe à une seule école doctorale. Toutefois, à titre exceptionnel, une équipe de recherche appartenant à une école doctorale peut être rattachée à plusieurs écoles doctorales.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périmètre des écoles d</w:t>
      </w:r>
      <w:r>
        <w:rPr>
          <w:rFonts w:ascii="Arial" w:hAnsi="Arial" w:cs="Arial"/>
          <w:sz w:val="24"/>
          <w:szCs w:val="24"/>
        </w:rPr>
        <w:t>octorales tient compte du périmètre des regroupements prévus par l’article L. 718-2 du code de l’éducation. Une école doctorale peut, le cas échéant, associer des unités ou des équipes de recherche relevant d’établissements n’appartenant pas au regroupemen</w:t>
      </w:r>
      <w:r>
        <w:rPr>
          <w:rFonts w:ascii="Arial" w:hAnsi="Arial" w:cs="Arial"/>
          <w:sz w:val="24"/>
          <w:szCs w:val="24"/>
        </w:rPr>
        <w:t>t, après avis du conseil académique ou de l’organe en tenant lieu, de la communauté d’universités ou d’établissements, ou des établissements membres du regroupement.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3</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Les écoles doctorales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1° Mettent en </w:t>
      </w:r>
      <w:r>
        <w:rPr>
          <w:rFonts w:ascii="Arial" w:hAnsi="Arial" w:cs="Arial"/>
          <w:sz w:val="24"/>
          <w:szCs w:val="24"/>
        </w:rPr>
        <w:t>œ</w:t>
      </w:r>
      <w:r>
        <w:rPr>
          <w:rFonts w:ascii="Arial" w:hAnsi="Arial" w:cs="Arial"/>
          <w:sz w:val="24"/>
          <w:szCs w:val="24"/>
        </w:rPr>
        <w:t xml:space="preserve">uvre une politique d’admission </w:t>
      </w:r>
      <w:r>
        <w:rPr>
          <w:rFonts w:ascii="Arial" w:hAnsi="Arial" w:cs="Arial"/>
          <w:sz w:val="24"/>
          <w:szCs w:val="24"/>
        </w:rPr>
        <w:t>des doctorants en leur sein, fondée sur des critères explicites et publics, informent les étudiants sur les conditions d’accès, les compétences requises, les financements susceptibles d’être obtenus, la nature, la qualité et les taux d’activité professionn</w:t>
      </w:r>
      <w:r>
        <w:rPr>
          <w:rFonts w:ascii="Arial" w:hAnsi="Arial" w:cs="Arial"/>
          <w:sz w:val="24"/>
          <w:szCs w:val="24"/>
        </w:rPr>
        <w:t>elle après l’obtention du doctorat. Elles participent à la recherche des financements, en proposent l’attribution afin de permettre aux doctorants de préparer et de soutenir leur thèse dans les meilleures conditions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lastRenderedPageBreak/>
        <w:t>2° Organisent les échanges scientifi</w:t>
      </w:r>
      <w:r>
        <w:rPr>
          <w:rFonts w:ascii="Arial" w:hAnsi="Arial" w:cs="Arial"/>
          <w:sz w:val="24"/>
          <w:szCs w:val="24"/>
        </w:rPr>
        <w:t>ques entre doctorants et avec la communauté scientifique ; proposent aux doctorants des activités de formation favorisant l’interdisciplinarité et l’acquisition d’une culture scientifique élargie incluant la connaissance du cadre international de la recher</w:t>
      </w:r>
      <w:r>
        <w:rPr>
          <w:rFonts w:ascii="Arial" w:hAnsi="Arial" w:cs="Arial"/>
          <w:sz w:val="24"/>
          <w:szCs w:val="24"/>
        </w:rPr>
        <w:t>che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3° Veillent à ce que chaque doctorant reçoive une formation à l’éthique de la recherche et à l’intégrité scientifique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4° Assurent une démarche qualité de la formation en mettant notamment en place des comités de suivi individuel du doctorant et proposent aux encadrants du doctorant une formation ou un accompagnement spécifique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5° Définissent et mettent en </w:t>
      </w:r>
      <w:r>
        <w:rPr>
          <w:rFonts w:ascii="Arial" w:hAnsi="Arial" w:cs="Arial"/>
          <w:sz w:val="24"/>
          <w:szCs w:val="24"/>
        </w:rPr>
        <w:t>œ</w:t>
      </w:r>
      <w:r>
        <w:rPr>
          <w:rFonts w:ascii="Arial" w:hAnsi="Arial" w:cs="Arial"/>
          <w:sz w:val="24"/>
          <w:szCs w:val="24"/>
        </w:rPr>
        <w:t>uvre des di</w:t>
      </w:r>
      <w:r>
        <w:rPr>
          <w:rFonts w:ascii="Arial" w:hAnsi="Arial" w:cs="Arial"/>
          <w:sz w:val="24"/>
          <w:szCs w:val="24"/>
        </w:rPr>
        <w:t>spositifs d’appui à la poursuite du parcours professionnel après l’obtention du doctorat dans les secteurs public et privé et organisent en lien avec les services des établissements concernés le suivi des parcours professionnels des docteurs formés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6° </w:t>
      </w:r>
      <w:r>
        <w:rPr>
          <w:rFonts w:ascii="Arial" w:hAnsi="Arial" w:cs="Arial"/>
          <w:sz w:val="24"/>
          <w:szCs w:val="24"/>
        </w:rPr>
        <w:t>Contribuent à une ouverture européenne et internationale, dans le cadre d’actions de coopération conduites avec des établissements d’enseignement supérieur ou des centres de recherche étrangers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7° Formulent un avis sur les demandes de rattachement d’un</w:t>
      </w:r>
      <w:r>
        <w:rPr>
          <w:rFonts w:ascii="Arial" w:hAnsi="Arial" w:cs="Arial"/>
          <w:sz w:val="24"/>
          <w:szCs w:val="24"/>
        </w:rPr>
        <w:t>ités ou d’équipes de recherche.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4</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Les écoles doctorales mettent en place des dispositifs spécifiques afin d’organiser une évaluation des cursus et des activités de formation qu’elles proposent, notamment au moyen d’enquêtes régulières auprè</w:t>
      </w:r>
      <w:r>
        <w:rPr>
          <w:rFonts w:ascii="Arial" w:hAnsi="Arial" w:cs="Arial"/>
          <w:sz w:val="24"/>
          <w:szCs w:val="24"/>
        </w:rPr>
        <w:t xml:space="preserve">s des doctorants. Cette évaluation est organisée dans </w:t>
      </w:r>
      <w:proofErr w:type="gramStart"/>
      <w:r>
        <w:rPr>
          <w:rFonts w:ascii="Arial" w:hAnsi="Arial" w:cs="Arial"/>
          <w:sz w:val="24"/>
          <w:szCs w:val="24"/>
        </w:rPr>
        <w:t>le</w:t>
      </w:r>
      <w:proofErr w:type="gramEnd"/>
      <w:r>
        <w:rPr>
          <w:rFonts w:ascii="Arial" w:hAnsi="Arial" w:cs="Arial"/>
          <w:sz w:val="24"/>
          <w:szCs w:val="24"/>
        </w:rPr>
        <w:t xml:space="preserve"> respect des dispositions des statuts des personnels concernés.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Dans le cadre d’une démarche d’amélioration continue du cursus, les résultats des évaluations font l’objet de présentations et de déba</w:t>
      </w:r>
      <w:r>
        <w:rPr>
          <w:rFonts w:ascii="Arial" w:hAnsi="Arial" w:cs="Arial"/>
          <w:sz w:val="24"/>
          <w:szCs w:val="24"/>
        </w:rPr>
        <w:t>ts au sein du conseil de l’école doctorale. Ils sont transmis à la commission de la recherche du conseil académique ou de l’instance qui en tient lieu.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5</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L’arrêté d’accréditation d’un établissement public d’enseignement supérieur emporte ha</w:t>
      </w:r>
      <w:r>
        <w:rPr>
          <w:rFonts w:ascii="Arial" w:hAnsi="Arial" w:cs="Arial"/>
          <w:sz w:val="24"/>
          <w:szCs w:val="24"/>
        </w:rPr>
        <w:t>bilitation de ce dernier à délivrer le diplôme de doctorat dans les spécialités concernées, seul ou conjointement. Ce même arrêté mentionne, après évaluation périodique de chaque école doctorale, réalisée ou validée par le Haut Conseil de l’évaluation de l</w:t>
      </w:r>
      <w:r>
        <w:rPr>
          <w:rFonts w:ascii="Arial" w:hAnsi="Arial" w:cs="Arial"/>
          <w:sz w:val="24"/>
          <w:szCs w:val="24"/>
        </w:rPr>
        <w:t>a recherche et de l’enseignement supérieur, la liste des écoles doctorales autorisées à accueillir des doctorants en vue de leur formation doctorale, ainsi que le ou les champs disciplinaires concernés.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Des établissements d’enseignement supérieur, des or</w:t>
      </w:r>
      <w:r>
        <w:rPr>
          <w:rFonts w:ascii="Arial" w:hAnsi="Arial" w:cs="Arial"/>
          <w:sz w:val="24"/>
          <w:szCs w:val="24"/>
        </w:rPr>
        <w:t>ganismes publics de formation ou de recherche et des fondations de recherche peuvent participer à une école doctorale en accueillant des doctorants de cette école au sein d’unités ou d’équipes de recherche reconnues à la suite d’une évaluation menée par le</w:t>
      </w:r>
      <w:r>
        <w:rPr>
          <w:rFonts w:ascii="Arial" w:hAnsi="Arial" w:cs="Arial"/>
          <w:sz w:val="24"/>
          <w:szCs w:val="24"/>
        </w:rPr>
        <w:t xml:space="preserve"> Haut Conseil de l’évaluation de la </w:t>
      </w:r>
      <w:r>
        <w:rPr>
          <w:rFonts w:ascii="Arial" w:hAnsi="Arial" w:cs="Arial"/>
          <w:sz w:val="24"/>
          <w:szCs w:val="24"/>
        </w:rPr>
        <w:lastRenderedPageBreak/>
        <w:t xml:space="preserve">recherche et de l’enseignement supérieur ou par d’autres instances dont il valide les procédures. Cette participation est soumise à l’approbation de la commission de la recherche du conseil académique de l’établissement </w:t>
      </w:r>
      <w:r>
        <w:rPr>
          <w:rFonts w:ascii="Arial" w:hAnsi="Arial" w:cs="Arial"/>
          <w:sz w:val="24"/>
          <w:szCs w:val="24"/>
        </w:rPr>
        <w:t>de rattachement de l’école doctorale ou de l’instance en tenant lieu, après avis du conseil de l’école doctorale et sur proposition de son directeur.</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 demande d’accréditation comprend, le cas échéant, les modalités de coopération entre l’ensemble des é</w:t>
      </w:r>
      <w:r>
        <w:rPr>
          <w:rFonts w:ascii="Arial" w:hAnsi="Arial" w:cs="Arial"/>
          <w:sz w:val="24"/>
          <w:szCs w:val="24"/>
        </w:rPr>
        <w:t>tablissements d’enseignement supérieur et de recherche publics concourant à l’école doctorale, telles que définies par une ou plusieurs conventions, ainsi que la liste des équipes et unités de recherche relevant de cette école doctorale.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Afin de garantir</w:t>
      </w:r>
      <w:r>
        <w:rPr>
          <w:rFonts w:ascii="Arial" w:hAnsi="Arial" w:cs="Arial"/>
          <w:sz w:val="24"/>
          <w:szCs w:val="24"/>
        </w:rPr>
        <w:t xml:space="preserve"> la connaissance la plus large possible de l’offre de formation doctorale, un annuaire national des écoles doctorales est mis à jour annuellement par les ministres chargés de l’enseignement supérieur et de la recherche.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Chapitre II : Organisation</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6</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L’école doctorale est dirigée par un directeur assisté d’un conseil.</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Le directeur de l’école doctorale est choisi, en son sein, parmi ses membres habilités à diriger des recherches, parmi les professeurs et personnels assimilés au sens de </w:t>
      </w:r>
      <w:r>
        <w:rPr>
          <w:rFonts w:ascii="Arial" w:hAnsi="Arial" w:cs="Arial"/>
          <w:sz w:val="24"/>
          <w:szCs w:val="24"/>
        </w:rPr>
        <w:t>l’article 6 du décret n° 92-70 du 16 janvier 1992 relatif au Conseil national des universités et de l’article 5 du décret n° 87-31 du 20 janvier 1987 relatif au Conseil national des universités pour les disciplines médicales, odontologiques et pharmaceutiq</w:t>
      </w:r>
      <w:r>
        <w:rPr>
          <w:rFonts w:ascii="Arial" w:hAnsi="Arial" w:cs="Arial"/>
          <w:sz w:val="24"/>
          <w:szCs w:val="24"/>
        </w:rPr>
        <w:t>ues, ou parmi les enseignants de rang équivalent qui ne relèvent pas du ministère chargé de l’enseignement supérieur, ou parmi les personnels des établissements d’enseignement supérieur, des organismes publics de recherche et des fondations de recherche, h</w:t>
      </w:r>
      <w:r>
        <w:rPr>
          <w:rFonts w:ascii="Arial" w:hAnsi="Arial" w:cs="Arial"/>
          <w:sz w:val="24"/>
          <w:szCs w:val="24"/>
        </w:rPr>
        <w:t>abilités à diriger des recherches. Il est nommé pour la durée de l’accréditation. Son mandat peut être renouvelé une fois.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Lorsqu’une école doctorale relève d’un seul établissement, le directeur de l’école doctorale est nommé par le chef d’établissement </w:t>
      </w:r>
      <w:r>
        <w:rPr>
          <w:rFonts w:ascii="Arial" w:hAnsi="Arial" w:cs="Arial"/>
          <w:sz w:val="24"/>
          <w:szCs w:val="24"/>
        </w:rPr>
        <w:t>après avis de la commission de la recherche du conseil académique, ou de l’instance qui en tient lieu, et du conseil de l’école doctorale.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Lorsqu’une école doctorale relève de plusieurs établissements, les chefs d’établissement désignent conjointement le</w:t>
      </w:r>
      <w:r>
        <w:rPr>
          <w:rFonts w:ascii="Arial" w:hAnsi="Arial" w:cs="Arial"/>
          <w:sz w:val="24"/>
          <w:szCs w:val="24"/>
        </w:rPr>
        <w:t xml:space="preserve"> directeur dans les conditions définies par la convention qui les lie, après avis des commissions de la recherche des conseils académiques, ou des instances qui en tiennent lieu, dans les établissements concernés, et du conseil de l’école doctorale.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w:t>
      </w:r>
      <w:r>
        <w:rPr>
          <w:rFonts w:ascii="Arial" w:hAnsi="Arial" w:cs="Arial"/>
          <w:b/>
          <w:bCs/>
          <w:sz w:val="24"/>
          <w:szCs w:val="24"/>
        </w:rPr>
        <w:t>icle 7</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Le directeur de l’école doctorale met en </w:t>
      </w:r>
      <w:r>
        <w:rPr>
          <w:rFonts w:ascii="Arial" w:hAnsi="Arial" w:cs="Arial"/>
          <w:sz w:val="24"/>
          <w:szCs w:val="24"/>
        </w:rPr>
        <w:t>œ</w:t>
      </w:r>
      <w:r>
        <w:rPr>
          <w:rFonts w:ascii="Arial" w:hAnsi="Arial" w:cs="Arial"/>
          <w:sz w:val="24"/>
          <w:szCs w:val="24"/>
        </w:rPr>
        <w:t>uvre le programme d’actions de l’école doctorale, et présente chaque année un rapport d’activité devant la commission de la recherche du conseil académique, ou de l’instance qui en tient lieu dans les é</w:t>
      </w:r>
      <w:r>
        <w:rPr>
          <w:rFonts w:ascii="Arial" w:hAnsi="Arial" w:cs="Arial"/>
          <w:sz w:val="24"/>
          <w:szCs w:val="24"/>
        </w:rPr>
        <w:t>tablissements concernés.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lastRenderedPageBreak/>
        <w:t>Article 8</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Chaque chef d’établissement propose à la commission de la recherche du conseil académique ou à l’instance qui en tient lieu l’attribution des financements propres de l’établissement pouvant être alloués aux doctor</w:t>
      </w:r>
      <w:r>
        <w:rPr>
          <w:rFonts w:ascii="Arial" w:hAnsi="Arial" w:cs="Arial"/>
          <w:sz w:val="24"/>
          <w:szCs w:val="24"/>
        </w:rPr>
        <w:t>ants inscrits dans l’établissement. Le directeur de l’école doctorale présente chaque année la liste des doctorants bénéficiaires de financements devant le conseil de l’école doctorale et en informe la commission de la recherche du conseil académique, ou d</w:t>
      </w:r>
      <w:r>
        <w:rPr>
          <w:rFonts w:ascii="Arial" w:hAnsi="Arial" w:cs="Arial"/>
          <w:sz w:val="24"/>
          <w:szCs w:val="24"/>
        </w:rPr>
        <w:t>e l’instance qui en tient lieu, dans les établissements concernés.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9</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conseil de l’école doctorale adopte le programme d’actions de l’école doctorale. Il gère, par ses délibérations, les affaires qui relèvent de l’école doctorale.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co</w:t>
      </w:r>
      <w:r>
        <w:rPr>
          <w:rFonts w:ascii="Arial" w:hAnsi="Arial" w:cs="Arial"/>
          <w:sz w:val="24"/>
          <w:szCs w:val="24"/>
        </w:rPr>
        <w:t>nseil comprend de douze à vingt-six membres. Soixante pour cent de ses membres sont des représentants des établissements, des unités ou équipes de recherche concernées, dont au moins deux représentants des personnels ingénieurs, administratifs ou technicie</w:t>
      </w:r>
      <w:r>
        <w:rPr>
          <w:rFonts w:ascii="Arial" w:hAnsi="Arial" w:cs="Arial"/>
          <w:sz w:val="24"/>
          <w:szCs w:val="24"/>
        </w:rPr>
        <w:t>ns.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Il est complété, à hauteur de 20 % du total des membres du conseil, arrondi s’il y a lieu à l’unité inférieure, par des doctorants élus parmi et par les doctorants inscrits à l’</w:t>
      </w:r>
      <w:r>
        <w:rPr>
          <w:rFonts w:ascii="Arial" w:hAnsi="Arial" w:cs="Arial"/>
          <w:sz w:val="24"/>
          <w:szCs w:val="24"/>
        </w:rPr>
        <w:t>école doctorale ; et pour le reste, sur proposition des membres élus du conseil de l’école doctorale, par des membres extérieurs à l’école doctorale choisis parmi les personnalités qualifiées, dans les domaines scientifiques et dans les secteurs socio-écon</w:t>
      </w:r>
      <w:r>
        <w:rPr>
          <w:rFonts w:ascii="Arial" w:hAnsi="Arial" w:cs="Arial"/>
          <w:sz w:val="24"/>
          <w:szCs w:val="24"/>
        </w:rPr>
        <w:t>omiques concernés.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Sa composition doit permettre une représentation équilibrée des femmes et des hommes. Les règles relatives à l’élection et à la nomination des membres du conseil sont définies suivant des modalités adoptées par le conseil d’administrat</w:t>
      </w:r>
      <w:r>
        <w:rPr>
          <w:rFonts w:ascii="Arial" w:hAnsi="Arial" w:cs="Arial"/>
          <w:sz w:val="24"/>
          <w:szCs w:val="24"/>
        </w:rPr>
        <w:t>ion de l’établissement ou des établissements concernés par l’accréditation.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Titre II : DOCTORAT</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10</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doctorat est préparé dans une école doctorale sous la responsabilité des établissements accrédités, au sein d’une unité ou d’une équi</w:t>
      </w:r>
      <w:r>
        <w:rPr>
          <w:rFonts w:ascii="Arial" w:hAnsi="Arial" w:cs="Arial"/>
          <w:sz w:val="24"/>
          <w:szCs w:val="24"/>
        </w:rPr>
        <w:t xml:space="preserve">pe de recherche reconnue à </w:t>
      </w:r>
      <w:proofErr w:type="gramStart"/>
      <w:r>
        <w:rPr>
          <w:rFonts w:ascii="Arial" w:hAnsi="Arial" w:cs="Arial"/>
          <w:sz w:val="24"/>
          <w:szCs w:val="24"/>
        </w:rPr>
        <w:t>la</w:t>
      </w:r>
      <w:proofErr w:type="gramEnd"/>
      <w:r>
        <w:rPr>
          <w:rFonts w:ascii="Arial" w:hAnsi="Arial" w:cs="Arial"/>
          <w:sz w:val="24"/>
          <w:szCs w:val="24"/>
        </w:rPr>
        <w:t xml:space="preserve"> suite d’une évaluation par le Haut Conseil de l’évaluation de la recherche et de l’enseignement supérieur ou par d’autres instances dont il valide les procédures, et sous la responsabilité d’un directeur de thèse rattaché à ce</w:t>
      </w:r>
      <w:r>
        <w:rPr>
          <w:rFonts w:ascii="Arial" w:hAnsi="Arial" w:cs="Arial"/>
          <w:sz w:val="24"/>
          <w:szCs w:val="24"/>
        </w:rPr>
        <w:t>tte école, ou dans le cadre d’une codirection telle que mentionnée à l’article 16 du présent arrêté.</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doctorat peut être préparé au sein d’une unité ou d’une équipe de recherche en émergence, sur proposition de l’établissement ou des établissements con</w:t>
      </w:r>
      <w:r>
        <w:rPr>
          <w:rFonts w:ascii="Arial" w:hAnsi="Arial" w:cs="Arial"/>
          <w:sz w:val="24"/>
          <w:szCs w:val="24"/>
        </w:rPr>
        <w:t>cernés dans le cadre de leur politique scientifique, sur la base d’une évaluation diligentée à cet effet. L’équipe de recherche concernée est rattachée à une école doctorale, après avis du conseil de cette école, sur proposition du ou des chefs d’établisse</w:t>
      </w:r>
      <w:r>
        <w:rPr>
          <w:rFonts w:ascii="Arial" w:hAnsi="Arial" w:cs="Arial"/>
          <w:sz w:val="24"/>
          <w:szCs w:val="24"/>
        </w:rPr>
        <w:t>ment.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lastRenderedPageBreak/>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11</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L’inscription en première année de doctorat est prononcée par le chef d’établissement sur proposition du directeur de l’école doctorale, après avis du directeur de thèse et du directeur de l’unité ou de l’équipe de recherche sur la</w:t>
      </w:r>
      <w:r>
        <w:rPr>
          <w:rFonts w:ascii="Arial" w:hAnsi="Arial" w:cs="Arial"/>
          <w:sz w:val="24"/>
          <w:szCs w:val="24"/>
        </w:rPr>
        <w:t xml:space="preserve"> qualité du projet et les conditions de sa réalisation. Elle vaut admission aux formations dispensées par l’école doctorale.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Pour être inscrit en doctorat, le candidat doit être titulaire d’un diplôme national de master ou d’un autre diplôme conférant le</w:t>
      </w:r>
      <w:r>
        <w:rPr>
          <w:rFonts w:ascii="Arial" w:hAnsi="Arial" w:cs="Arial"/>
          <w:sz w:val="24"/>
          <w:szCs w:val="24"/>
        </w:rPr>
        <w:t xml:space="preserve"> grade de master, à l’issue d’un parcours de formation ou d’une expérience professionnelle établissant son aptitude à la recherche.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Si cette condition de diplôme n’est pas remplie, le chef d’établissement peut, par dérogation et sur proposition du consei</w:t>
      </w:r>
      <w:r>
        <w:rPr>
          <w:rFonts w:ascii="Arial" w:hAnsi="Arial" w:cs="Arial"/>
          <w:sz w:val="24"/>
          <w:szCs w:val="24"/>
        </w:rPr>
        <w:t>l de l’école doctorale, inscrire en doctorat des personnes ayant effectué des études d’un niveau équivalent ou bénéficiant de la validation des acquis de l’expérience prévue à l’article L. 613-5 du code de l’éducation. La liste des bénéficiaires de ces mes</w:t>
      </w:r>
      <w:r>
        <w:rPr>
          <w:rFonts w:ascii="Arial" w:hAnsi="Arial" w:cs="Arial"/>
          <w:sz w:val="24"/>
          <w:szCs w:val="24"/>
        </w:rPr>
        <w:t>ures est présentée chaque année au conseil de l’école doctorale et à la commission de la recherche du conseil académique, ou à l’instance qui en tient lieu dans l’établissement concerné.</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L’inscription est renouvelée au début de chaque année universitaire</w:t>
      </w:r>
      <w:r>
        <w:rPr>
          <w:rFonts w:ascii="Arial" w:hAnsi="Arial" w:cs="Arial"/>
          <w:sz w:val="24"/>
          <w:szCs w:val="24"/>
        </w:rPr>
        <w:t xml:space="preserve"> par le chef d’établissement, sur proposition du directeur de l’école doctorale, après avis du directeur de thèse et</w:t>
      </w:r>
      <w:r w:rsidRPr="00B005C0">
        <w:rPr>
          <w:rFonts w:ascii="Arial" w:hAnsi="Arial" w:cs="Arial"/>
          <w:sz w:val="24"/>
          <w:szCs w:val="24"/>
          <w:highlight w:val="yellow"/>
        </w:rPr>
        <w:t>, à partir de la troisième inscription, du comité de suivi individuel du doctorant.</w:t>
      </w:r>
      <w:r>
        <w:rPr>
          <w:rFonts w:ascii="Arial" w:hAnsi="Arial" w:cs="Arial"/>
          <w:sz w:val="24"/>
          <w:szCs w:val="24"/>
        </w:rPr>
        <w:t xml:space="preserve"> En cas de non-renouvellement envisagé, après avis du dir</w:t>
      </w:r>
      <w:r>
        <w:rPr>
          <w:rFonts w:ascii="Arial" w:hAnsi="Arial" w:cs="Arial"/>
          <w:sz w:val="24"/>
          <w:szCs w:val="24"/>
        </w:rPr>
        <w:t>ecteur de thèse, l’avis motivé est notifié au doctorant par le directeur de l’école doctorale. Un deuxième avis peut être demandé par le doctorant auprès de la commission recherche du conseil académique ou de l’instance qui en tient lieu, dans l’établissem</w:t>
      </w:r>
      <w:r>
        <w:rPr>
          <w:rFonts w:ascii="Arial" w:hAnsi="Arial" w:cs="Arial"/>
          <w:sz w:val="24"/>
          <w:szCs w:val="24"/>
        </w:rPr>
        <w:t>ent concerné. La décision de non-renouvellement est prise par le chef d’établissement, qui notifie celle-ci au doctorant.</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Lors de l’inscription annuelle en doctorat, le directeur de l’école doctorale vérifie que les conditions scientifiques, matérielles </w:t>
      </w:r>
      <w:r>
        <w:rPr>
          <w:rFonts w:ascii="Arial" w:hAnsi="Arial" w:cs="Arial"/>
          <w:sz w:val="24"/>
          <w:szCs w:val="24"/>
        </w:rPr>
        <w:t>et financières sont assurées pour garantir le bon déroulement des travaux de recherche du doctorant et de préparation de la thèse.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Durant le déroulement de ses travaux de recherche, le doctorant est intégré à l’unité ou à </w:t>
      </w:r>
      <w:proofErr w:type="gramStart"/>
      <w:r>
        <w:rPr>
          <w:rFonts w:ascii="Arial" w:hAnsi="Arial" w:cs="Arial"/>
          <w:sz w:val="24"/>
          <w:szCs w:val="24"/>
        </w:rPr>
        <w:t>l’équipe</w:t>
      </w:r>
      <w:proofErr w:type="gramEnd"/>
      <w:r>
        <w:rPr>
          <w:rFonts w:ascii="Arial" w:hAnsi="Arial" w:cs="Arial"/>
          <w:sz w:val="24"/>
          <w:szCs w:val="24"/>
        </w:rPr>
        <w:t xml:space="preserve"> de recherche qui l’</w:t>
      </w:r>
      <w:r>
        <w:rPr>
          <w:rFonts w:ascii="Arial" w:hAnsi="Arial" w:cs="Arial"/>
          <w:sz w:val="24"/>
          <w:szCs w:val="24"/>
        </w:rPr>
        <w:t>accueille et qui contribue à son accompagnement pendant sa formation. Ses travaux sont valorisés dans ce cadre.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12</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Sous la responsabilité des établissements accrédités, l’école doctorale fixe les conditions de suivi et d’encadrement des doc</w:t>
      </w:r>
      <w:r>
        <w:rPr>
          <w:rFonts w:ascii="Arial" w:hAnsi="Arial" w:cs="Arial"/>
          <w:sz w:val="24"/>
          <w:szCs w:val="24"/>
        </w:rPr>
        <w:t xml:space="preserve">torants par une charte du doctorat dont elle définit les termes. Cette charte prévoit notamment les modalités de recours à une médiation en cas de conflit entre le doctorant et son directeur de thèse et l’engagement du doctorant à répondre à toute demande </w:t>
      </w:r>
      <w:r>
        <w:rPr>
          <w:rFonts w:ascii="Arial" w:hAnsi="Arial" w:cs="Arial"/>
          <w:sz w:val="24"/>
          <w:szCs w:val="24"/>
        </w:rPr>
        <w:t>d’information relative à son insertion et à son parcours professionnel à l’issue du doctorat. Cette charte est approuvée par le directeur de l’école doctorale, le directeur de l’unité ou de l’équipe de recherche d’accueil, le ou les directeurs de thèse. El</w:t>
      </w:r>
      <w:r>
        <w:rPr>
          <w:rFonts w:ascii="Arial" w:hAnsi="Arial" w:cs="Arial"/>
          <w:sz w:val="24"/>
          <w:szCs w:val="24"/>
        </w:rPr>
        <w:t>le est signée par le doctorant et le directeur de thèse lors de sa première inscription.</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Prise en application de cette charte, une convention de formation, signée par le directeur </w:t>
      </w:r>
      <w:r>
        <w:rPr>
          <w:rFonts w:ascii="Arial" w:hAnsi="Arial" w:cs="Arial"/>
          <w:sz w:val="24"/>
          <w:szCs w:val="24"/>
        </w:rPr>
        <w:lastRenderedPageBreak/>
        <w:t>de thèse et par le doctorant, indique les dénominations de l’établissement</w:t>
      </w:r>
      <w:r>
        <w:rPr>
          <w:rFonts w:ascii="Arial" w:hAnsi="Arial" w:cs="Arial"/>
          <w:sz w:val="24"/>
          <w:szCs w:val="24"/>
        </w:rPr>
        <w:t xml:space="preserve"> d’inscription du doctorant, de l’école doctorale et de l’unité ou de l’équipe de recherche d’accueil ; elle mentionne également le ou les noms du ou des directeurs de thèse, du directeur de l’unité ou de l’équipe d’accueil, du doctorant ainsi que les droi</w:t>
      </w:r>
      <w:r>
        <w:rPr>
          <w:rFonts w:ascii="Arial" w:hAnsi="Arial" w:cs="Arial"/>
          <w:sz w:val="24"/>
          <w:szCs w:val="24"/>
        </w:rPr>
        <w:t>ts et devoirs des parties en présence.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Cette convention de formation mentionne le sujet du doctorat et la spécialité du diplôme, le cas échéant les conditions de financement du doctorant, ainsi que les éléments suivants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1° Si le doctorat est mené à t</w:t>
      </w:r>
      <w:r>
        <w:rPr>
          <w:rFonts w:ascii="Arial" w:hAnsi="Arial" w:cs="Arial"/>
          <w:sz w:val="24"/>
          <w:szCs w:val="24"/>
        </w:rPr>
        <w:t>emps complet ou à temps partiel ; dans ce cas est précisé le statut professionnel du doctorant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2° Le calendrier du projet de recherche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3° Les modalités d’encadrement, de suivi de la formation et d’avancement des recherches </w:t>
      </w:r>
      <w:proofErr w:type="gramStart"/>
      <w:r>
        <w:rPr>
          <w:rFonts w:ascii="Arial" w:hAnsi="Arial" w:cs="Arial"/>
          <w:sz w:val="24"/>
          <w:szCs w:val="24"/>
        </w:rPr>
        <w:t>du</w:t>
      </w:r>
      <w:proofErr w:type="gramEnd"/>
      <w:r>
        <w:rPr>
          <w:rFonts w:ascii="Arial" w:hAnsi="Arial" w:cs="Arial"/>
          <w:sz w:val="24"/>
          <w:szCs w:val="24"/>
        </w:rPr>
        <w:t xml:space="preserve"> doctorant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4° Les c</w:t>
      </w:r>
      <w:r>
        <w:rPr>
          <w:rFonts w:ascii="Arial" w:hAnsi="Arial" w:cs="Arial"/>
          <w:sz w:val="24"/>
          <w:szCs w:val="24"/>
        </w:rPr>
        <w:t>onditions matérielles de réalisation du projet de recherche et, le cas échéant, les conditions de sécurité spécifiques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5° Les modalités d’intégration dans l’unité ou l’équipe de recherche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6° Le projet professionnel du doctorant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7° Le parcours i</w:t>
      </w:r>
      <w:r>
        <w:rPr>
          <w:rFonts w:ascii="Arial" w:hAnsi="Arial" w:cs="Arial"/>
          <w:sz w:val="24"/>
          <w:szCs w:val="24"/>
        </w:rPr>
        <w:t>ndividuel de formation en lien avec ce projet personnel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8° Les objectifs de valorisation des travaux de recherche du doctorant : diffusion, publication et confidentialité, droit à la propriété intellectuelle selon le champ du programme de doctorat.</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w:t>
      </w:r>
      <w:r>
        <w:rPr>
          <w:rFonts w:ascii="Arial" w:hAnsi="Arial" w:cs="Arial"/>
          <w:sz w:val="24"/>
          <w:szCs w:val="24"/>
        </w:rPr>
        <w:t xml:space="preserve">a convention de formation du doctorant prend en compte les autres conventions existantes. Elle peut être modifiée en tant que de besoin, lors des réinscriptions par accord signé entre les parties. L’établissement d’inscription est le garant de sa mise en </w:t>
      </w:r>
      <w:r>
        <w:rPr>
          <w:rFonts w:ascii="Arial" w:hAnsi="Arial" w:cs="Arial"/>
          <w:sz w:val="24"/>
          <w:szCs w:val="24"/>
        </w:rPr>
        <w:t>œ</w:t>
      </w:r>
      <w:r>
        <w:rPr>
          <w:rFonts w:ascii="Arial" w:hAnsi="Arial" w:cs="Arial"/>
          <w:sz w:val="24"/>
          <w:szCs w:val="24"/>
        </w:rPr>
        <w:t>uvre.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B005C0" w:rsidRDefault="00B005C0" w:rsidP="00B005C0">
      <w:pPr>
        <w:widowControl w:val="0"/>
        <w:autoSpaceDE w:val="0"/>
        <w:autoSpaceDN w:val="0"/>
        <w:adjustRightInd w:val="0"/>
        <w:spacing w:after="0" w:line="240" w:lineRule="auto"/>
        <w:jc w:val="both"/>
        <w:rPr>
          <w:rFonts w:ascii="Arial" w:hAnsi="Arial" w:cs="Arial"/>
          <w:b/>
          <w:bCs/>
          <w:sz w:val="24"/>
          <w:szCs w:val="24"/>
        </w:rPr>
      </w:pP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13</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sidRPr="009B4DF7">
        <w:rPr>
          <w:rFonts w:ascii="Arial" w:hAnsi="Arial" w:cs="Arial"/>
          <w:sz w:val="24"/>
          <w:szCs w:val="24"/>
          <w:highlight w:val="yellow"/>
        </w:rPr>
        <w:t>Un comité de suivi individuel</w:t>
      </w:r>
      <w:r>
        <w:rPr>
          <w:rFonts w:ascii="Arial" w:hAnsi="Arial" w:cs="Arial"/>
          <w:sz w:val="24"/>
          <w:szCs w:val="24"/>
        </w:rPr>
        <w:t xml:space="preserve"> du doctorant veille au bon déroulement du cursus en s’</w:t>
      </w:r>
      <w:r>
        <w:rPr>
          <w:rFonts w:ascii="Arial" w:hAnsi="Arial" w:cs="Arial"/>
          <w:sz w:val="24"/>
          <w:szCs w:val="24"/>
        </w:rPr>
        <w:t xml:space="preserve">appuyant sur la charte du doctorat et la convention de formation. Il évalue, dans un entretien avec le doctorant, les conditions de sa formation et les avancées de sa </w:t>
      </w:r>
      <w:proofErr w:type="gramStart"/>
      <w:r>
        <w:rPr>
          <w:rFonts w:ascii="Arial" w:hAnsi="Arial" w:cs="Arial"/>
          <w:sz w:val="24"/>
          <w:szCs w:val="24"/>
        </w:rPr>
        <w:t>recherche</w:t>
      </w:r>
      <w:proofErr w:type="gramEnd"/>
      <w:r>
        <w:rPr>
          <w:rFonts w:ascii="Arial" w:hAnsi="Arial" w:cs="Arial"/>
          <w:sz w:val="24"/>
          <w:szCs w:val="24"/>
        </w:rPr>
        <w:t>. Il formule des recommandations et transmet un rapport de l’entretien au direct</w:t>
      </w:r>
      <w:r>
        <w:rPr>
          <w:rFonts w:ascii="Arial" w:hAnsi="Arial" w:cs="Arial"/>
          <w:sz w:val="24"/>
          <w:szCs w:val="24"/>
        </w:rPr>
        <w:t>eur de l’école doctorale, au doctorant et au directeur de thèse.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Il veille notamment à prévenir toute forme de conflit, de discrimination ou de harcèlement.</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Les modalités de composition, d’organisation et de fonctionnement de ce comité sont fixées par </w:t>
      </w:r>
      <w:r>
        <w:rPr>
          <w:rFonts w:ascii="Arial" w:hAnsi="Arial" w:cs="Arial"/>
          <w:sz w:val="24"/>
          <w:szCs w:val="24"/>
        </w:rPr>
        <w:t xml:space="preserve">le conseil de l’école doctorale. </w:t>
      </w:r>
      <w:r w:rsidRPr="00583AC9">
        <w:rPr>
          <w:rFonts w:ascii="Arial" w:hAnsi="Arial" w:cs="Arial"/>
          <w:sz w:val="24"/>
          <w:szCs w:val="24"/>
          <w:highlight w:val="yellow"/>
        </w:rPr>
        <w:t>Les membres de ce comité ne participent pas à la direction du travail du doctorant.</w:t>
      </w: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583AC9" w:rsidRDefault="00583AC9" w:rsidP="00B005C0">
      <w:pPr>
        <w:widowControl w:val="0"/>
        <w:autoSpaceDE w:val="0"/>
        <w:autoSpaceDN w:val="0"/>
        <w:adjustRightInd w:val="0"/>
        <w:spacing w:after="0" w:line="240" w:lineRule="auto"/>
        <w:jc w:val="both"/>
        <w:rPr>
          <w:rFonts w:ascii="Arial" w:hAnsi="Arial" w:cs="Arial"/>
          <w:b/>
          <w:bCs/>
          <w:sz w:val="24"/>
          <w:szCs w:val="24"/>
        </w:rPr>
      </w:pPr>
    </w:p>
    <w:p w:rsidR="00583AC9" w:rsidRDefault="00583AC9" w:rsidP="00B005C0">
      <w:pPr>
        <w:widowControl w:val="0"/>
        <w:autoSpaceDE w:val="0"/>
        <w:autoSpaceDN w:val="0"/>
        <w:adjustRightInd w:val="0"/>
        <w:spacing w:after="0" w:line="240" w:lineRule="auto"/>
        <w:jc w:val="both"/>
        <w:rPr>
          <w:rFonts w:ascii="Arial" w:hAnsi="Arial" w:cs="Arial"/>
          <w:b/>
          <w:bCs/>
          <w:sz w:val="24"/>
          <w:szCs w:val="24"/>
        </w:rPr>
      </w:pPr>
    </w:p>
    <w:p w:rsidR="00000000" w:rsidRDefault="008C1212" w:rsidP="00B005C0">
      <w:pPr>
        <w:widowControl w:val="0"/>
        <w:autoSpaceDE w:val="0"/>
        <w:autoSpaceDN w:val="0"/>
        <w:adjustRightInd w:val="0"/>
        <w:spacing w:after="0" w:line="240" w:lineRule="auto"/>
        <w:jc w:val="both"/>
        <w:rPr>
          <w:rFonts w:ascii="Arial" w:hAnsi="Arial" w:cs="Arial"/>
          <w:sz w:val="24"/>
          <w:szCs w:val="24"/>
        </w:rPr>
      </w:pPr>
      <w:bookmarkStart w:id="0" w:name="_GoBack"/>
      <w:bookmarkEnd w:id="0"/>
      <w:r>
        <w:rPr>
          <w:rFonts w:ascii="Arial" w:hAnsi="Arial" w:cs="Arial"/>
          <w:b/>
          <w:bCs/>
          <w:sz w:val="24"/>
          <w:szCs w:val="24"/>
        </w:rPr>
        <w:lastRenderedPageBreak/>
        <w:t>Article 14</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sidRPr="00B005C0">
        <w:rPr>
          <w:rFonts w:ascii="Arial" w:hAnsi="Arial" w:cs="Arial"/>
          <w:sz w:val="24"/>
          <w:szCs w:val="24"/>
          <w:highlight w:val="yellow"/>
        </w:rPr>
        <w:t xml:space="preserve">La préparation du doctorat, au sein de l’école doctorale, s’effectue en règle générale en trois ans en équivalent temps </w:t>
      </w:r>
      <w:r w:rsidRPr="00B005C0">
        <w:rPr>
          <w:rFonts w:ascii="Arial" w:hAnsi="Arial" w:cs="Arial"/>
          <w:sz w:val="24"/>
          <w:szCs w:val="24"/>
          <w:highlight w:val="yellow"/>
        </w:rPr>
        <w:t>plein consacré à la recherche. Dans les autres cas, la durée de préparation du doctorat peut être au plus de six ans.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 durée de la formation doctorale du doctorant en situation de handicap peut être prolongée par le chef d’établissement sur demande mot</w:t>
      </w:r>
      <w:r>
        <w:rPr>
          <w:rFonts w:ascii="Arial" w:hAnsi="Arial" w:cs="Arial"/>
          <w:sz w:val="24"/>
          <w:szCs w:val="24"/>
        </w:rPr>
        <w:t>ivée du doctorant.</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Si le doctorant a bénéficié d’un congé de maternité, de paternité, d’un congé d’accueil de l’enfant ou d’adoption, d’un congé parental, d’un congé de maladie d’une durée supérieure à quatre mois consécutifs ou d’un congé d’une durée au</w:t>
      </w:r>
      <w:r>
        <w:rPr>
          <w:rFonts w:ascii="Arial" w:hAnsi="Arial" w:cs="Arial"/>
          <w:sz w:val="24"/>
          <w:szCs w:val="24"/>
        </w:rPr>
        <w:t xml:space="preserve"> moins égale à deux mois faisant suite à un accident de travail, la durée de la préparation du doctorat est prolongée si l’intéressé en formule la demande.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Des prolongations annuelles peuvent être accordées à titre dérogatoire par le chef d’établissement</w:t>
      </w:r>
      <w:r>
        <w:rPr>
          <w:rFonts w:ascii="Arial" w:hAnsi="Arial" w:cs="Arial"/>
          <w:sz w:val="24"/>
          <w:szCs w:val="24"/>
        </w:rPr>
        <w:t>, sur proposition du directeur de thèse et après avis du comité de suivi et du directeur d’école doctorale, sur demande motivée du doctorant. La liste des bénéficiaires de ces dérogations est présentée chaque année au conseil de l’école doctorale et transm</w:t>
      </w:r>
      <w:r>
        <w:rPr>
          <w:rFonts w:ascii="Arial" w:hAnsi="Arial" w:cs="Arial"/>
          <w:sz w:val="24"/>
          <w:szCs w:val="24"/>
        </w:rPr>
        <w:t>ise à la commission de la recherche du conseil académique ou à l’instance qui en tient lieu dans les établissements concernés.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A titre exceptionnel, sur demande motivée du doctorant, une période de césure insécable d’une durée maximale d’une année peut i</w:t>
      </w:r>
      <w:r>
        <w:rPr>
          <w:rFonts w:ascii="Arial" w:hAnsi="Arial" w:cs="Arial"/>
          <w:sz w:val="24"/>
          <w:szCs w:val="24"/>
        </w:rPr>
        <w:t>ntervenir une seule fois, par décision du chef d’établissement où est inscrit le doctorant, après accord de l’employeur, le cas échéant, et avis du directeur de thèse et du directeur de l’école doctorale. Durant cette période, le doctorant suspend temporai</w:t>
      </w:r>
      <w:r>
        <w:rPr>
          <w:rFonts w:ascii="Arial" w:hAnsi="Arial" w:cs="Arial"/>
          <w:sz w:val="24"/>
          <w:szCs w:val="24"/>
        </w:rPr>
        <w:t>rement sa formation et son travail de recherche, mais peut demeurer inscrit, s’il le souhaite, au sein de son établissement. Cette période n’est pas comptabilisée dans la durée de la thèse. L’établissement garantit au doctorant qui suspend sa scolarité son</w:t>
      </w:r>
      <w:r>
        <w:rPr>
          <w:rFonts w:ascii="Arial" w:hAnsi="Arial" w:cs="Arial"/>
          <w:sz w:val="24"/>
          <w:szCs w:val="24"/>
        </w:rPr>
        <w:t xml:space="preserve"> inscription au sein de la formation doctorale à la fin de la période de césure.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15</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Au cours de leur cursus, les doctorants suivent des programmes de formation définis au 2° de l’article 3 du présent arrêté.</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Une formation à la pédagogie est dispensée lorsqu’elle concourt à l’activité ou au projet professionnel du doctorant.</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Un portfolio du doctorant comprenant la liste individualisée de toutes les activités du doctorant durant sa formation, incluant enseigne</w:t>
      </w:r>
      <w:r>
        <w:rPr>
          <w:rFonts w:ascii="Arial" w:hAnsi="Arial" w:cs="Arial"/>
          <w:sz w:val="24"/>
          <w:szCs w:val="24"/>
        </w:rPr>
        <w:t>ment, diffusion de la culture scientifique ou transfert de technologie, et valorisant les compétences qu’il a développées pendant la préparation du doctorat, est réalisé. Il est mis à jour régulièrement par le doctorant.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16</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doctorant est</w:t>
      </w:r>
      <w:r>
        <w:rPr>
          <w:rFonts w:ascii="Arial" w:hAnsi="Arial" w:cs="Arial"/>
          <w:sz w:val="24"/>
          <w:szCs w:val="24"/>
        </w:rPr>
        <w:t xml:space="preserve"> placé sous le contrôle et la responsabilité d’un directeur de thèse. La direction scientifique du projet doctoral peut être éventuellement assurée conjointement </w:t>
      </w:r>
      <w:r>
        <w:rPr>
          <w:rFonts w:ascii="Arial" w:hAnsi="Arial" w:cs="Arial"/>
          <w:sz w:val="24"/>
          <w:szCs w:val="24"/>
        </w:rPr>
        <w:lastRenderedPageBreak/>
        <w:t>avec un codirecteur. Lorsque la codirection est assurée par une personne du monde socio-économ</w:t>
      </w:r>
      <w:r>
        <w:rPr>
          <w:rFonts w:ascii="Arial" w:hAnsi="Arial" w:cs="Arial"/>
          <w:sz w:val="24"/>
          <w:szCs w:val="24"/>
        </w:rPr>
        <w:t>ique qui n’appartient pas au monde universitaire, le nombre de codirecteurs peut être porté à deux.</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Les fonctions de directeur ou de codirecteur de thèse peuvent être exercées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1° Par les professeurs et personnels assimilés au sens de l’article 6 du d</w:t>
      </w:r>
      <w:r>
        <w:rPr>
          <w:rFonts w:ascii="Arial" w:hAnsi="Arial" w:cs="Arial"/>
          <w:sz w:val="24"/>
          <w:szCs w:val="24"/>
        </w:rPr>
        <w:t>écret n° 92-70 relatif au Conseil national des universités et de l’article 5 du décret n° 87-31 pour les disciplines de santé, ou par des enseignants de rang équivalent qui ne relèvent pas du ministère de l’enseignement supérieur, par les personnels des ét</w:t>
      </w:r>
      <w:r>
        <w:rPr>
          <w:rFonts w:ascii="Arial" w:hAnsi="Arial" w:cs="Arial"/>
          <w:sz w:val="24"/>
          <w:szCs w:val="24"/>
        </w:rPr>
        <w:t>ablissements d’enseignement supérieur, des organismes publics de recherche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2° Par d’autres personnalités, titulaires d’un doctorat, choisies en raison de leur compétence scientifique par le chef d’établissement, sur proposition du directeur de l’école </w:t>
      </w:r>
      <w:r>
        <w:rPr>
          <w:rFonts w:ascii="Arial" w:hAnsi="Arial" w:cs="Arial"/>
          <w:sz w:val="24"/>
          <w:szCs w:val="24"/>
        </w:rPr>
        <w:t>doctorale et après avis de la commission de la recherche du conseil académique ou de l’instance en tenant lieu dans l’établissement d’inscription.</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 direction de la thèse peut également être assurée sous forme de codirection instaurée par convention ent</w:t>
      </w:r>
      <w:r>
        <w:rPr>
          <w:rFonts w:ascii="Arial" w:hAnsi="Arial" w:cs="Arial"/>
          <w:sz w:val="24"/>
          <w:szCs w:val="24"/>
        </w:rPr>
        <w:t>re un ou deux directeurs de thèse répondant aux conditions fixées ci-dessus et une personne du monde socio-économique reconnue pour ses compétences dans le domaine. La proposition de codirection est soumise à la décision du chef de l’établissement accrédit</w:t>
      </w:r>
      <w:r>
        <w:rPr>
          <w:rFonts w:ascii="Arial" w:hAnsi="Arial" w:cs="Arial"/>
          <w:sz w:val="24"/>
          <w:szCs w:val="24"/>
        </w:rPr>
        <w:t>é, sur proposition du directeur de l’école doctorale. Dans ce cas, les doctorants sont placés sous la responsabilité conjointe des codirecteurs de thèse.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conseil de l’école doctorale fixe le nombre maximum de doctorants encadrés par un directeur de th</w:t>
      </w:r>
      <w:r>
        <w:rPr>
          <w:rFonts w:ascii="Arial" w:hAnsi="Arial" w:cs="Arial"/>
          <w:sz w:val="24"/>
          <w:szCs w:val="24"/>
        </w:rPr>
        <w:t>èse en tenant compte des contraintes liées aux disciplines, notamment les disciplines rares.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17</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L’autorisation de soutenir une thèse est accordée par le chef d’établissement, après avis du directeur de l’école doctorale, sur proposition du </w:t>
      </w:r>
      <w:r>
        <w:rPr>
          <w:rFonts w:ascii="Arial" w:hAnsi="Arial" w:cs="Arial"/>
          <w:sz w:val="24"/>
          <w:szCs w:val="24"/>
        </w:rPr>
        <w:t>directeur de thèse.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Les travaux du doctorant sont préalablement examinés par au moins deux rapporteurs désignés par le chef d’établissement, habilités à diriger des recherches ou appartenant à l’une des catégories mentionnées au 1° et au 2° de l’article </w:t>
      </w:r>
      <w:r>
        <w:rPr>
          <w:rFonts w:ascii="Arial" w:hAnsi="Arial" w:cs="Arial"/>
          <w:sz w:val="24"/>
          <w:szCs w:val="24"/>
        </w:rPr>
        <w:t>16 du présent arrêté, sur proposition du directeur de l’école doctorale, après avis du directeur de thèse.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Dans le cas de travaux impliquant des personnes du monde socio-économique qui n’appartiennent pas au monde universitaire, un troisième rapporteur, </w:t>
      </w:r>
      <w:r>
        <w:rPr>
          <w:rFonts w:ascii="Arial" w:hAnsi="Arial" w:cs="Arial"/>
          <w:sz w:val="24"/>
          <w:szCs w:val="24"/>
        </w:rPr>
        <w:t>reconnu pour ses compétences dans le domaine, peut être désigné sur proposition du directeur de l’école doctorale, après avis du directeur de thèse.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Sauf si le champ disciplinaire ou le contenu des travaux ne le permettent pas, les deux rapporteurs sont extérieurs à l’école doctorale et à l’établissement du doctorant. Ils peuvent appartenir à des établissements d’enseignement supérieur ou de recherche </w:t>
      </w:r>
      <w:r>
        <w:rPr>
          <w:rFonts w:ascii="Arial" w:hAnsi="Arial" w:cs="Arial"/>
          <w:sz w:val="24"/>
          <w:szCs w:val="24"/>
        </w:rPr>
        <w:t>étrangers ou à d’autres organismes étrangers.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Les rapporteurs n’ont pas d’implication dans le travail du doctorant.</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Les rapporteurs font connaître, au moins quatorze jours avant la date prévue pour la </w:t>
      </w:r>
      <w:r>
        <w:rPr>
          <w:rFonts w:ascii="Arial" w:hAnsi="Arial" w:cs="Arial"/>
          <w:sz w:val="24"/>
          <w:szCs w:val="24"/>
        </w:rPr>
        <w:lastRenderedPageBreak/>
        <w:t>soutenance, leur avis par des rapports écrits ; sur</w:t>
      </w:r>
      <w:r>
        <w:rPr>
          <w:rFonts w:ascii="Arial" w:hAnsi="Arial" w:cs="Arial"/>
          <w:sz w:val="24"/>
          <w:szCs w:val="24"/>
        </w:rPr>
        <w:t xml:space="preserve"> cette base, le chef d’établissement autorise la soutenance. Ces rapports sont communiqués au jury et au doctorant avant la soutenance.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18</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jury de thèse est désigné par le chef d’établissement après avis du directeur de l’école doctorale</w:t>
      </w:r>
      <w:r>
        <w:rPr>
          <w:rFonts w:ascii="Arial" w:hAnsi="Arial" w:cs="Arial"/>
          <w:sz w:val="24"/>
          <w:szCs w:val="24"/>
        </w:rPr>
        <w:t xml:space="preserve"> et du directeur de thèse. Le nombre des membres du jury est compris entre quatre et huit. Il est composé au moins pour moitié de personnalités françaises ou étrangères, extérieures à l’école doctorale et à l’établissement d’inscription du doctorant et cho</w:t>
      </w:r>
      <w:r>
        <w:rPr>
          <w:rFonts w:ascii="Arial" w:hAnsi="Arial" w:cs="Arial"/>
          <w:sz w:val="24"/>
          <w:szCs w:val="24"/>
        </w:rPr>
        <w:t>isies en raison de leur compétence scientifique ou professionnelle dans le champ de recherche concerné, sous réserve des dispositions relatives à la cotutelle internationale de thèse définies au titre III du présent arrêté.</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sidRPr="00B005C0">
        <w:rPr>
          <w:rFonts w:ascii="Arial" w:hAnsi="Arial" w:cs="Arial"/>
          <w:sz w:val="24"/>
          <w:szCs w:val="24"/>
          <w:highlight w:val="yellow"/>
        </w:rPr>
        <w:t xml:space="preserve">Sa composition doit permettre </w:t>
      </w:r>
      <w:r w:rsidRPr="00B005C0">
        <w:rPr>
          <w:rFonts w:ascii="Arial" w:hAnsi="Arial" w:cs="Arial"/>
          <w:sz w:val="24"/>
          <w:szCs w:val="24"/>
          <w:highlight w:val="yellow"/>
        </w:rPr>
        <w:t>une représentation équilibrée des femmes et des hommes</w:t>
      </w:r>
      <w:r>
        <w:rPr>
          <w:rFonts w:ascii="Arial" w:hAnsi="Arial" w:cs="Arial"/>
          <w:sz w:val="24"/>
          <w:szCs w:val="24"/>
        </w:rPr>
        <w:t>. La moitié du jury au moins doit être composée de professeurs ou personnels assimilés au sens de l’article 6 du décret n° 92-70 relatif au Conseil national des universités et de l’article 5 du décret n</w:t>
      </w:r>
      <w:r>
        <w:rPr>
          <w:rFonts w:ascii="Arial" w:hAnsi="Arial" w:cs="Arial"/>
          <w:sz w:val="24"/>
          <w:szCs w:val="24"/>
        </w:rPr>
        <w:t>° 87-31 pour les disciplines de santé, ou d’enseignants de rang équivalent qui ne relèvent pas du ministère chargé de l’enseignement supérieur.</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Les membres du jury désignent parmi eux un président et, le cas échéant, un rapporteur de soutenance. Le prési</w:t>
      </w:r>
      <w:r>
        <w:rPr>
          <w:rFonts w:ascii="Arial" w:hAnsi="Arial" w:cs="Arial"/>
          <w:sz w:val="24"/>
          <w:szCs w:val="24"/>
        </w:rPr>
        <w:t>dent doit être un professeur ou assimilé ou un enseignant de rang équivalent.</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sidRPr="00B005C0">
        <w:rPr>
          <w:rFonts w:ascii="Arial" w:hAnsi="Arial" w:cs="Arial"/>
          <w:sz w:val="24"/>
          <w:szCs w:val="24"/>
          <w:highlight w:val="yellow"/>
        </w:rPr>
        <w:t>Le directeur de thèse participe au jury, mais ne prend pas part à la décision</w:t>
      </w:r>
      <w:r>
        <w:rPr>
          <w:rFonts w:ascii="Arial" w:hAnsi="Arial" w:cs="Arial"/>
          <w:sz w:val="24"/>
          <w:szCs w:val="24"/>
        </w:rPr>
        <w:t>. Lorsque plusieurs établissements sont accrédités à délivrer conjointement le doctorat, le jury es</w:t>
      </w:r>
      <w:r>
        <w:rPr>
          <w:rFonts w:ascii="Arial" w:hAnsi="Arial" w:cs="Arial"/>
          <w:sz w:val="24"/>
          <w:szCs w:val="24"/>
        </w:rPr>
        <w:t>t désigné par les chefs des établissements concernés dans les conditions fixées par la convention mentionnée à l’article 5 du présent arrêté.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19</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 soutenance est publique, sauf dérogation accordée à titre exceptionnel par le chef d’établis</w:t>
      </w:r>
      <w:r>
        <w:rPr>
          <w:rFonts w:ascii="Arial" w:hAnsi="Arial" w:cs="Arial"/>
          <w:sz w:val="24"/>
          <w:szCs w:val="24"/>
        </w:rPr>
        <w:t>sement si le sujet de la thèse présente un caractère de confidentialité avéré.</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Avant la soutenance, le résumé de la thèse est diffusé à l’intérieur de l’établissement ou des établissements bénéficiant d’une accréditation conjointe.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Dans le cadre de ses</w:t>
      </w:r>
      <w:r>
        <w:rPr>
          <w:rFonts w:ascii="Arial" w:hAnsi="Arial" w:cs="Arial"/>
          <w:sz w:val="24"/>
          <w:szCs w:val="24"/>
        </w:rPr>
        <w:t xml:space="preserve"> délibérations, le jury apprécie la qualité des travaux du doctorant, leur caractère novateur, l’aptitude du doctorant à les situer dans leur contexte scientifique ainsi que ses qualités d’exposition. Le jury peut demander des corrections conformément à l’</w:t>
      </w:r>
      <w:r>
        <w:rPr>
          <w:rFonts w:ascii="Arial" w:hAnsi="Arial" w:cs="Arial"/>
          <w:sz w:val="24"/>
          <w:szCs w:val="24"/>
        </w:rPr>
        <w:t>article 24 du présent arrêté. Lorsque les travaux correspondent à une recherche collective, la part personnelle de chaque doctorant est appréciée par un mémoire qu’il rédige et présente individuellement au jury.</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A titre exceptionnel, et à l’exception de </w:t>
      </w:r>
      <w:r>
        <w:rPr>
          <w:rFonts w:ascii="Arial" w:hAnsi="Arial" w:cs="Arial"/>
          <w:sz w:val="24"/>
          <w:szCs w:val="24"/>
        </w:rPr>
        <w:t>son président, les membres du jury peuvent participer à la soutenance par des moyens de visioconférence ou de communication électronique permettant leur identification et leur participation effective à une délibération collégiale et satisfaisant à des cara</w:t>
      </w:r>
      <w:r>
        <w:rPr>
          <w:rFonts w:ascii="Arial" w:hAnsi="Arial" w:cs="Arial"/>
          <w:sz w:val="24"/>
          <w:szCs w:val="24"/>
        </w:rPr>
        <w:t>ctéristiques techniques garantissant la transmission continue et simultanée des débats.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lastRenderedPageBreak/>
        <w:t>L’admission ou l’ajournement est prononcé après délibération du jury.</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président signe le rapport de soutenance, qui est contresigné par l’</w:t>
      </w:r>
      <w:r>
        <w:rPr>
          <w:rFonts w:ascii="Arial" w:hAnsi="Arial" w:cs="Arial"/>
          <w:sz w:val="24"/>
          <w:szCs w:val="24"/>
        </w:rPr>
        <w:t>ensemble des membres du jury présents à la soutenance.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rapport de soutenance est communiqué au doctorant dans le mois suivant la soutenance.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Titre III : COTUTELLE</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20</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Afin de développer la dimension internationale des écoles doctor</w:t>
      </w:r>
      <w:r>
        <w:rPr>
          <w:rFonts w:ascii="Arial" w:hAnsi="Arial" w:cs="Arial"/>
          <w:sz w:val="24"/>
          <w:szCs w:val="24"/>
        </w:rPr>
        <w:t>ales et la coopération scientifique entre les équipes de recherche françaises et étrangères, et afin de favoriser la mobilité des doctorants, un établissement d’enseignement supérieur français accrédité à délivrer le doctorat peut conclure avec un ou plusi</w:t>
      </w:r>
      <w:r>
        <w:rPr>
          <w:rFonts w:ascii="Arial" w:hAnsi="Arial" w:cs="Arial"/>
          <w:sz w:val="24"/>
          <w:szCs w:val="24"/>
        </w:rPr>
        <w:t>eurs établissements d’enseignement supérieur étrangers, bénéficiant dans leur pays des mêmes prérogatives, une convention visant à organiser une cotutelle internationale de thèse.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Les établissements cocontractants sont liés par un principe de réciprocité</w:t>
      </w:r>
      <w:r>
        <w:rPr>
          <w:rFonts w:ascii="Arial" w:hAnsi="Arial" w:cs="Arial"/>
          <w:sz w:val="24"/>
          <w:szCs w:val="24"/>
        </w:rPr>
        <w:t>.</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Lorsque les règles applicables aux études doctorales dans les pays concernés sont incompatibles entre elles, les établissements français sont autorisés à déroger aux dispositions du titre II du présent arrêté, dans les conditions définies par la conven</w:t>
      </w:r>
      <w:r>
        <w:rPr>
          <w:rFonts w:ascii="Arial" w:hAnsi="Arial" w:cs="Arial"/>
          <w:sz w:val="24"/>
          <w:szCs w:val="24"/>
        </w:rPr>
        <w:t>tion de cotutelle.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21</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 convention peut être soit une convention-cadre accompagnée, pour chaque thèse, d’une convention d’application, soit une convention conclue spécifiquement pour chaque thèse. Les directeurs de thèse et le doctorant si</w:t>
      </w:r>
      <w:r>
        <w:rPr>
          <w:rFonts w:ascii="Arial" w:hAnsi="Arial" w:cs="Arial"/>
          <w:sz w:val="24"/>
          <w:szCs w:val="24"/>
        </w:rPr>
        <w:t>gnent, pour la thèse concernée, la convention d’application ou, en l’absence de convention-cadre, la convention conclue spécifiquement pour la thèse.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Outre les mentions prévues à l’article D. 613-19 du code de l’éducation concernant les modalités de form</w:t>
      </w:r>
      <w:r>
        <w:rPr>
          <w:rFonts w:ascii="Arial" w:hAnsi="Arial" w:cs="Arial"/>
          <w:sz w:val="24"/>
          <w:szCs w:val="24"/>
        </w:rPr>
        <w:t>ation et les modalités de certification, dans le respect des exigences de qualité requises par le présent arrêté, la convention précise les conditions de l’alternance des périodes de formation dans les pays concernés. Elle détermine les modalités de consti</w:t>
      </w:r>
      <w:r>
        <w:rPr>
          <w:rFonts w:ascii="Arial" w:hAnsi="Arial" w:cs="Arial"/>
          <w:sz w:val="24"/>
          <w:szCs w:val="24"/>
        </w:rPr>
        <w:t>tution du jury et d’accompagnement matériel, pédagogique et linguistique des étudiants. Elle précise notamment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1° L’intitulé de la thèse, le nom du directeur de thèse, de l’étudiant, la dénomination des établissements d’enseignement supérieur contracta</w:t>
      </w:r>
      <w:r>
        <w:rPr>
          <w:rFonts w:ascii="Arial" w:hAnsi="Arial" w:cs="Arial"/>
          <w:sz w:val="24"/>
          <w:szCs w:val="24"/>
        </w:rPr>
        <w:t>nts et la nature du diplôme préparé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2° La langue dans laquelle est rédigée la thèse ; lorsque cette langue n’est pas le français, la rédaction est complétée par un résumé substantiel en langue française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3° Les modalités de reconnaissance des activités de formations effectuées dans l’un ou l’autre des établissements d’enseignement supérieur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lastRenderedPageBreak/>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4° Les modalités de règlement des droits de scolarité conformément aux dispositions pédagogiques retenues, sans q</w:t>
      </w:r>
      <w:r>
        <w:rPr>
          <w:rFonts w:ascii="Arial" w:hAnsi="Arial" w:cs="Arial"/>
          <w:sz w:val="24"/>
          <w:szCs w:val="24"/>
        </w:rPr>
        <w:t>ue le doctorant puisse être contraint à acquitter les droits dans plusieurs établissements simultanément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5° Les conditions de prise en charge de la couverture sociale ainsi que les conditions d’hébergement et les aides financières dont le doctorant peu</w:t>
      </w:r>
      <w:r>
        <w:rPr>
          <w:rFonts w:ascii="Arial" w:hAnsi="Arial" w:cs="Arial"/>
          <w:sz w:val="24"/>
          <w:szCs w:val="24"/>
        </w:rPr>
        <w:t>t bénéficier pour assurer sa mobilité.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22</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doctorant effectue ses travaux sous la responsabilité, dans chacun des pays concernés, d’un directeur de thèse qui exerce ses fonctions d’encadrement en collaboration avec le ou les autres direct</w:t>
      </w:r>
      <w:r>
        <w:rPr>
          <w:rFonts w:ascii="Arial" w:hAnsi="Arial" w:cs="Arial"/>
          <w:sz w:val="24"/>
          <w:szCs w:val="24"/>
        </w:rPr>
        <w:t>eurs de thèse.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23</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 thèse donne lieu à une soutenance unique. Conformément aux dispositions de l’article 19 du présent arrêté, le président du jury signe un rapport de soutenance contresigné par les membres du jury.</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ou les diplômes de</w:t>
      </w:r>
      <w:r>
        <w:rPr>
          <w:rFonts w:ascii="Arial" w:hAnsi="Arial" w:cs="Arial"/>
          <w:sz w:val="24"/>
          <w:szCs w:val="24"/>
        </w:rPr>
        <w:t xml:space="preserve"> doctorat sont délivrés par les autorités académiques habilitées à le faire, sur proposition conforme du jury, après la soutenance de la thèse.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Par dérogation aux dispositions prévues au titre IV du présent arrêté, les modalités de protection du sujet, d</w:t>
      </w:r>
      <w:r>
        <w:rPr>
          <w:rFonts w:ascii="Arial" w:hAnsi="Arial" w:cs="Arial"/>
          <w:sz w:val="24"/>
          <w:szCs w:val="24"/>
        </w:rPr>
        <w:t>e dépôt de signalement et de reproduction des thèses, ainsi que celles de la gestion des résultats de recherche communs aux laboratoires impliqués, de leur publication et de leur exploitation, sont arrêtées conformément aux législations spécifiques à chaqu</w:t>
      </w:r>
      <w:r>
        <w:rPr>
          <w:rFonts w:ascii="Arial" w:hAnsi="Arial" w:cs="Arial"/>
          <w:sz w:val="24"/>
          <w:szCs w:val="24"/>
        </w:rPr>
        <w:t>e pays impliqué dans la préparation de la thèse et précisées par la convention mentionnée à l’article 20 du présent arrêté.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Titre IV : DÉPÔT, SIGNALEMENT, DIFFUSION ET CONSERVATION DES THÈSES OU DES TRAVAUX PRÉSENTÉS</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24</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doctorant en</w:t>
      </w:r>
      <w:r>
        <w:rPr>
          <w:rFonts w:ascii="Arial" w:hAnsi="Arial" w:cs="Arial"/>
          <w:sz w:val="24"/>
          <w:szCs w:val="24"/>
        </w:rPr>
        <w:t>gagé dans la préparation d’une thèse de doctorat dépose celle-ci un mois avant la date prévue pour la soutenance au service chargé du doctorat de l’établissement d’enseignement supérieur dans lequel celle-ci s’effectue.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doctorant fournit sa thèse sous forme numérique selon les prescriptions de l’établissement de soutenance. Il fournit en outre des exemplaires sur support papier destinés aux membres du jury, lorsque ceux-ci en ont exprimé la demande. L’établissement ass</w:t>
      </w:r>
      <w:r>
        <w:rPr>
          <w:rFonts w:ascii="Arial" w:hAnsi="Arial" w:cs="Arial"/>
          <w:sz w:val="24"/>
          <w:szCs w:val="24"/>
        </w:rPr>
        <w:t>ure alors l’impression de la thèse à partir du support numérique.</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 soutenance est conditionnée par la délivrance au président du jury par le service chargé du doctorat d’une attestation du dépôt de la thèse et du bordereau électronique complété, avec l</w:t>
      </w:r>
      <w:r>
        <w:rPr>
          <w:rFonts w:ascii="Arial" w:hAnsi="Arial" w:cs="Arial"/>
          <w:sz w:val="24"/>
          <w:szCs w:val="24"/>
        </w:rPr>
        <w:t xml:space="preserve">e concours du service chargé du doctorat et du service commun de la </w:t>
      </w:r>
      <w:r>
        <w:rPr>
          <w:rFonts w:ascii="Arial" w:hAnsi="Arial" w:cs="Arial"/>
          <w:sz w:val="24"/>
          <w:szCs w:val="24"/>
        </w:rPr>
        <w:lastRenderedPageBreak/>
        <w:t xml:space="preserve">documentation ou du service </w:t>
      </w:r>
      <w:proofErr w:type="spellStart"/>
      <w:r>
        <w:rPr>
          <w:rFonts w:ascii="Arial" w:hAnsi="Arial" w:cs="Arial"/>
          <w:sz w:val="24"/>
          <w:szCs w:val="24"/>
        </w:rPr>
        <w:t>interétablissements</w:t>
      </w:r>
      <w:proofErr w:type="spellEnd"/>
      <w:r>
        <w:rPr>
          <w:rFonts w:ascii="Arial" w:hAnsi="Arial" w:cs="Arial"/>
          <w:sz w:val="24"/>
          <w:szCs w:val="24"/>
        </w:rPr>
        <w:t xml:space="preserve"> de coopération documentaire ou de la bibliothèque, comportant un résumé en français et un résumé en anglais ainsi qu’une liste de mots-clés.</w:t>
      </w:r>
      <w:r>
        <w:rPr>
          <w:rFonts w:ascii="Arial" w:hAnsi="Arial" w:cs="Arial"/>
          <w:sz w:val="24"/>
          <w:szCs w:val="24"/>
        </w:rPr>
        <w:t xml:space="preserve"> Il comprend notamment les métadonnées nécessaires à la description, la gestion, la diffusion et l’archivage de la thèse, conformes à la recommandation nationale TEF (thèses électroniques françaises).</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Si le jury a demandé l’introduction de corrections da</w:t>
      </w:r>
      <w:r>
        <w:rPr>
          <w:rFonts w:ascii="Arial" w:hAnsi="Arial" w:cs="Arial"/>
          <w:sz w:val="24"/>
          <w:szCs w:val="24"/>
        </w:rPr>
        <w:t>ns la thèse, le nouveau docteur dispose d’un délai de trois mois pour déposer sa thèse corrigée sous forme électronique.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25</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L’établissement de soutenance procède au dépôt de la version validée de la thèse dans ses formats de diffusion et d’</w:t>
      </w:r>
      <w:r>
        <w:rPr>
          <w:rFonts w:ascii="Arial" w:hAnsi="Arial" w:cs="Arial"/>
          <w:sz w:val="24"/>
          <w:szCs w:val="24"/>
        </w:rPr>
        <w:t>archivage, ainsi que du bordereau électronique, dans l’application nationale Star, gérée par l’Agence bibliographique de l’enseignement supérieur, qui assure les fonctions suivantes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1° Enregistrement du dépôt de la version de diffusion et de la version</w:t>
      </w:r>
      <w:r>
        <w:rPr>
          <w:rFonts w:ascii="Arial" w:hAnsi="Arial" w:cs="Arial"/>
          <w:sz w:val="24"/>
          <w:szCs w:val="24"/>
        </w:rPr>
        <w:t xml:space="preserve"> d’archivage de la thèse ainsi que de ses métadonnées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2° Signalement dans le catalogue </w:t>
      </w:r>
      <w:proofErr w:type="spellStart"/>
      <w:r>
        <w:rPr>
          <w:rFonts w:ascii="Arial" w:hAnsi="Arial" w:cs="Arial"/>
          <w:sz w:val="24"/>
          <w:szCs w:val="24"/>
        </w:rPr>
        <w:t>Sudoc</w:t>
      </w:r>
      <w:proofErr w:type="spellEnd"/>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3° Attribution d’un identifiant permanent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4° Envoi de la version d’archivage, y compris dans le cas d’une thèse non diffusable, au Centre informatique </w:t>
      </w:r>
      <w:r>
        <w:rPr>
          <w:rFonts w:ascii="Arial" w:hAnsi="Arial" w:cs="Arial"/>
          <w:sz w:val="24"/>
          <w:szCs w:val="24"/>
        </w:rPr>
        <w:t>national de l’enseignement supérieur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5° Le cas échéant, à la demande de l’établissement, envoi des métadonnées ou de la version de diffusion de la thèse vers les sites désignés par celui-ci.</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Sauf si la thèse présente un caractère de confidentialité a</w:t>
      </w:r>
      <w:r>
        <w:rPr>
          <w:rFonts w:ascii="Arial" w:hAnsi="Arial" w:cs="Arial"/>
          <w:sz w:val="24"/>
          <w:szCs w:val="24"/>
        </w:rPr>
        <w:t>véré, sa diffusion est assurée dans l’établissement de soutenance et au sein de l’ensemble de la communauté universitaire. La diffusion en ligne de la thèse au-delà de ce périmètre est subordonnée à l’autorisation de son auteur, sous réserve de l’absence d</w:t>
      </w:r>
      <w:r>
        <w:rPr>
          <w:rFonts w:ascii="Arial" w:hAnsi="Arial" w:cs="Arial"/>
          <w:sz w:val="24"/>
          <w:szCs w:val="24"/>
        </w:rPr>
        <w:t>e clause de confidentialité.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Titre V : DISPOSITIONS TRANSITOIRES ET FINALES</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26</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Les écoles doctorales accréditées à la date de l’entrée en vigueur du présent arrêté le restent jusqu’à la prochaine vague d’accréditations de l’</w:t>
      </w:r>
      <w:r>
        <w:rPr>
          <w:rFonts w:ascii="Arial" w:hAnsi="Arial" w:cs="Arial"/>
          <w:sz w:val="24"/>
          <w:szCs w:val="24"/>
        </w:rPr>
        <w:t>établissement dans lequel elles sont constituées.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27</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Les dispositions de l’article 19 de l’arrêté du 5 juillet 1984 relatif aux études doctorales et l’arrêté du 4 décembre 1984 fixant les mesures transitoires relatives aux inscriptions en d</w:t>
      </w:r>
      <w:r>
        <w:rPr>
          <w:rFonts w:ascii="Arial" w:hAnsi="Arial" w:cs="Arial"/>
          <w:sz w:val="24"/>
          <w:szCs w:val="24"/>
        </w:rPr>
        <w:t>octorat d’Etat sont abrogés à compter du 1er septembre 2018.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lastRenderedPageBreak/>
        <w:t>Article 28</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Sont abrogés :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1° L’arrêté du 3 septembre 1998 relatif à la charte des thèses ;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2° L’arrêté du 6 janvier 2005 relatif à la cotutelle internationale de thèse ;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3° L’arr</w:t>
      </w:r>
      <w:r>
        <w:rPr>
          <w:rFonts w:ascii="Arial" w:hAnsi="Arial" w:cs="Arial"/>
          <w:sz w:val="24"/>
          <w:szCs w:val="24"/>
        </w:rPr>
        <w:t xml:space="preserve">êté du 7 août 2006 relatif à la formation doctorale ;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4° L’arrêté du 7 août 2006 relatif aux modalités de dépôt, de signalement, de reproduction, de diffusion et de conservation des thèses ou des travaux présentés en soutenance en vue du doctorat.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w:t>
      </w:r>
      <w:r>
        <w:rPr>
          <w:rFonts w:ascii="Arial" w:hAnsi="Arial" w:cs="Arial"/>
          <w:b/>
          <w:bCs/>
          <w:sz w:val="24"/>
          <w:szCs w:val="24"/>
        </w:rPr>
        <w:t>ticle 29</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Le présent arrêté entre en vigueur à compter du 1er septembre 2016.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b/>
          <w:bCs/>
          <w:sz w:val="24"/>
          <w:szCs w:val="24"/>
        </w:rPr>
        <w:t>Article 30</w:t>
      </w:r>
      <w:r>
        <w:rPr>
          <w:rFonts w:ascii="Arial" w:hAnsi="Arial" w:cs="Arial"/>
          <w:sz w:val="24"/>
          <w:szCs w:val="24"/>
        </w:rPr>
        <w:t xml:space="preserv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 directrice générale de l’enseignement supérieur et de l’insertion professionnelle est chargée de l’</w:t>
      </w:r>
      <w:r>
        <w:rPr>
          <w:rFonts w:ascii="Arial" w:hAnsi="Arial" w:cs="Arial"/>
          <w:sz w:val="24"/>
          <w:szCs w:val="24"/>
        </w:rPr>
        <w:t>exécution du présent arrêté, qui sera publié au Journal officiel de la République française.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Fait le 25 mai 2016.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La ministre de l’éducation nationale, de l’enseignement supérieur et de la recherche,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Najat </w:t>
      </w:r>
      <w:proofErr w:type="spellStart"/>
      <w:r>
        <w:rPr>
          <w:rFonts w:ascii="Arial" w:hAnsi="Arial" w:cs="Arial"/>
          <w:sz w:val="24"/>
          <w:szCs w:val="24"/>
        </w:rPr>
        <w:t>Vallaud-Belkacem</w:t>
      </w:r>
      <w:proofErr w:type="spellEnd"/>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Le secrétaire d’Etat </w:t>
      </w:r>
      <w:r>
        <w:rPr>
          <w:rFonts w:ascii="Arial" w:hAnsi="Arial" w:cs="Arial"/>
          <w:sz w:val="24"/>
          <w:szCs w:val="24"/>
        </w:rPr>
        <w:t>chargé de l’enseignement supérieur et de la recherche,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Thierry </w:t>
      </w:r>
      <w:proofErr w:type="spellStart"/>
      <w:r>
        <w:rPr>
          <w:rFonts w:ascii="Arial" w:hAnsi="Arial" w:cs="Arial"/>
          <w:sz w:val="24"/>
          <w:szCs w:val="24"/>
        </w:rPr>
        <w:t>Mandon</w:t>
      </w:r>
      <w:proofErr w:type="spellEnd"/>
      <w:r>
        <w:rPr>
          <w:rFonts w:ascii="Arial" w:hAnsi="Arial" w:cs="Arial"/>
          <w:sz w:val="24"/>
          <w:szCs w:val="24"/>
        </w:rPr>
        <w:t> </w:t>
      </w:r>
    </w:p>
    <w:p w:rsidR="00000000"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p w:rsidR="008C1212" w:rsidRDefault="008C1212" w:rsidP="00B005C0">
      <w:pPr>
        <w:widowControl w:val="0"/>
        <w:autoSpaceDE w:val="0"/>
        <w:autoSpaceDN w:val="0"/>
        <w:adjustRightInd w:val="0"/>
        <w:spacing w:after="0" w:line="240" w:lineRule="auto"/>
        <w:jc w:val="both"/>
        <w:rPr>
          <w:rFonts w:ascii="Arial" w:hAnsi="Arial" w:cs="Arial"/>
          <w:sz w:val="24"/>
          <w:szCs w:val="24"/>
        </w:rPr>
      </w:pPr>
      <w:r>
        <w:rPr>
          <w:rFonts w:ascii="Arial" w:hAnsi="Arial" w:cs="Arial"/>
          <w:sz w:val="24"/>
          <w:szCs w:val="24"/>
        </w:rPr>
        <w:t> </w:t>
      </w:r>
    </w:p>
    <w:sectPr w:rsidR="008C1212">
      <w:pgSz w:w="11905" w:h="16837"/>
      <w:pgMar w:top="1133" w:right="1133" w:bottom="1133" w:left="1133"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10FBCD"/>
    <w:multiLevelType w:val="singleLevel"/>
    <w:tmpl w:val="068EFD63"/>
    <w:lvl w:ilvl="0">
      <w:start w:val="1"/>
      <w:numFmt w:val="bullet"/>
      <w:lvlText w:val="·"/>
      <w:lvlJc w:val="left"/>
      <w:rPr>
        <w:rFonts w:ascii="Times New Roman" w:hAnsi="Times New Roman" w:cs="Times New Roman"/>
      </w:rPr>
    </w:lvl>
  </w:abstractNum>
  <w:abstractNum w:abstractNumId="1">
    <w:nsid w:val="2B34355B"/>
    <w:multiLevelType w:val="singleLevel"/>
    <w:tmpl w:val="695337A3"/>
    <w:lvl w:ilvl="0">
      <w:start w:val="1"/>
      <w:numFmt w:val="bullet"/>
      <w:lvlText w:val="·"/>
      <w:lvlJc w:val="left"/>
      <w:rPr>
        <w:rFonts w:ascii="Times New Roman" w:hAnsi="Times New Roman" w:cs="Times New Roman"/>
      </w:rPr>
    </w:lvl>
  </w:abstractNum>
  <w:abstractNum w:abstractNumId="2">
    <w:nsid w:val="2B86664F"/>
    <w:multiLevelType w:val="singleLevel"/>
    <w:tmpl w:val="A51D14E4"/>
    <w:lvl w:ilvl="0">
      <w:start w:val="1"/>
      <w:numFmt w:val="bullet"/>
      <w:lvlText w:val="·"/>
      <w:lvlJc w:val="left"/>
      <w:rPr>
        <w:rFonts w:ascii="Times New Roman" w:hAnsi="Times New Roman" w:cs="Times New Roman"/>
      </w:rPr>
    </w:lvl>
  </w:abstractNum>
  <w:abstractNum w:abstractNumId="3">
    <w:nsid w:val="2B8C453C"/>
    <w:multiLevelType w:val="singleLevel"/>
    <w:tmpl w:val="603DC944"/>
    <w:lvl w:ilvl="0">
      <w:start w:val="1"/>
      <w:numFmt w:val="bullet"/>
      <w:lvlText w:val="·"/>
      <w:lvlJc w:val="left"/>
      <w:rPr>
        <w:rFonts w:ascii="Times New Roman" w:hAnsi="Times New Roman" w:cs="Times New Roman"/>
      </w:rPr>
    </w:lvl>
  </w:abstractNum>
  <w:abstractNum w:abstractNumId="4">
    <w:nsid w:val="2B9DE203"/>
    <w:multiLevelType w:val="singleLevel"/>
    <w:tmpl w:val="919FE664"/>
    <w:lvl w:ilvl="0">
      <w:start w:val="1"/>
      <w:numFmt w:val="bullet"/>
      <w:lvlText w:val="·"/>
      <w:lvlJc w:val="left"/>
      <w:rPr>
        <w:rFonts w:ascii="Times New Roman" w:hAnsi="Times New Roman" w:cs="Times New Roman"/>
      </w:rPr>
    </w:lvl>
  </w:abstractNum>
  <w:abstractNum w:abstractNumId="5">
    <w:nsid w:val="2BA99FDD"/>
    <w:multiLevelType w:val="singleLevel"/>
    <w:tmpl w:val="07E14F24"/>
    <w:lvl w:ilvl="0">
      <w:start w:val="1"/>
      <w:numFmt w:val="bullet"/>
      <w:lvlText w:val="·"/>
      <w:lvlJc w:val="left"/>
      <w:rPr>
        <w:rFonts w:ascii="Times New Roman" w:hAnsi="Times New Roman" w:cs="Times New Roman"/>
      </w:rPr>
    </w:lvl>
  </w:abstractNum>
  <w:abstractNum w:abstractNumId="6">
    <w:nsid w:val="2BAF7ECA"/>
    <w:multiLevelType w:val="singleLevel"/>
    <w:tmpl w:val="C3020384"/>
    <w:lvl w:ilvl="0">
      <w:start w:val="1"/>
      <w:numFmt w:val="bullet"/>
      <w:lvlText w:val="·"/>
      <w:lvlJc w:val="left"/>
      <w:rPr>
        <w:rFonts w:ascii="Times New Roman" w:hAnsi="Times New Roman" w:cs="Times New Roman"/>
      </w:rPr>
    </w:lvl>
  </w:abstractNum>
  <w:num w:numId="1">
    <w:abstractNumId w:val="1"/>
  </w:num>
  <w:num w:numId="2">
    <w:abstractNumId w:val="0"/>
  </w:num>
  <w:num w:numId="3">
    <w:abstractNumId w:val="4"/>
  </w:num>
  <w:num w:numId="4">
    <w:abstractNumId w:val="6"/>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0FB"/>
    <w:rsid w:val="005201CD"/>
    <w:rsid w:val="00583AC9"/>
    <w:rsid w:val="008C1212"/>
    <w:rsid w:val="009B4DF7"/>
    <w:rsid w:val="00B005C0"/>
    <w:rsid w:val="00E930F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5556</Words>
  <Characters>30562</Characters>
  <Application>Microsoft Office Word</Application>
  <DocSecurity>0</DocSecurity>
  <Lines>254</Lines>
  <Paragraphs>72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OT</dc:creator>
  <cp:lastModifiedBy>OT</cp:lastModifiedBy>
  <cp:revision>2</cp:revision>
  <dcterms:created xsi:type="dcterms:W3CDTF">2017-01-03T05:58:00Z</dcterms:created>
  <dcterms:modified xsi:type="dcterms:W3CDTF">2017-01-03T05:58:00Z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forCreatedThisOn">
    <vt:lpwstr>Tue Jan 03 06:31:52 CET 2017</vt:lpwstr>
  </property>
  <property fmtid="{D5CDD505-2E9C-101B-9397-08002B2CF9AE}" pid="3" name="jforVersion">
    <vt:lpwstr>jfor V0.7.2rc1 - see http://www.jfor.org</vt:lpwstr>
  </property>
</Properties>
</file>