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4449" w:rsidRDefault="00F04449" w:rsidP="00F04449">
      <w:pPr>
        <w:pStyle w:val="NormalWeb"/>
      </w:pPr>
      <w:r w:rsidRPr="00F04449">
        <w:rPr>
          <w:b/>
        </w:rPr>
        <w:t xml:space="preserve">Article </w:t>
      </w:r>
      <w:proofErr w:type="gramStart"/>
      <w:r w:rsidRPr="00F04449">
        <w:rPr>
          <w:b/>
        </w:rPr>
        <w:t>355</w:t>
      </w:r>
      <w:r>
        <w:t xml:space="preserve">  </w:t>
      </w:r>
      <w:r w:rsidRPr="00F04449">
        <w:rPr>
          <w:b/>
        </w:rPr>
        <w:t>TFUE</w:t>
      </w:r>
      <w:proofErr w:type="gramEnd"/>
      <w:r w:rsidRPr="00F04449">
        <w:rPr>
          <w:b/>
        </w:rPr>
        <w:t xml:space="preserve"> </w:t>
      </w:r>
      <w:r>
        <w:t>(ex-article 299, paragraphe 2, premier alinéa, et paragraphes 3 à 6, TCE)</w:t>
      </w:r>
    </w:p>
    <w:p w:rsidR="00F04449" w:rsidRDefault="00F04449" w:rsidP="00F04449">
      <w:pPr>
        <w:pStyle w:val="NormalWeb"/>
      </w:pPr>
      <w:r>
        <w:t>Outre les dispositions de l'article 52 du traité sur l'Union européenne relatives au champ d'application territoriale des traités, les dispositions suivantes s'appliquent:</w:t>
      </w:r>
    </w:p>
    <w:p w:rsidR="00F04449" w:rsidRDefault="00F04449" w:rsidP="00F04449">
      <w:pPr>
        <w:pStyle w:val="NormalWeb"/>
      </w:pPr>
      <w:r>
        <w:t>1. Les dispositions des traités sont applicables à la Guadeloupe, à la Guyane française, à la Martinique, à la Réunion, à Saint-B</w:t>
      </w:r>
      <w:bookmarkStart w:id="0" w:name="_GoBack"/>
      <w:bookmarkEnd w:id="0"/>
      <w:r>
        <w:t>arthélemy, à Saint-Martin, aux Açores, à Madère et aux îles Canaries, conformément à l'article 349.</w:t>
      </w:r>
    </w:p>
    <w:p w:rsidR="00F04449" w:rsidRDefault="00F04449" w:rsidP="00F04449">
      <w:pPr>
        <w:pStyle w:val="NormalWeb"/>
      </w:pPr>
      <w:r>
        <w:t>2. Les pays et territoires d'outre-mer dont la liste figure à l'annexe II font l'objet du régime spécial d'association défini dans la quatrième partie.</w:t>
      </w:r>
    </w:p>
    <w:p w:rsidR="00F04449" w:rsidRDefault="00F04449" w:rsidP="00F04449">
      <w:pPr>
        <w:pStyle w:val="NormalWeb"/>
      </w:pPr>
      <w:r>
        <w:t>Les traités ne s'appliquent pas aux pays et territoires d'outre-mer entretenant des relations particulières avec le Royaume-Uni de Grande-Bretagne et d'Irlande du Nord qui ne sont pas mentionnés dans la liste précitée.</w:t>
      </w:r>
    </w:p>
    <w:p w:rsidR="00F04449" w:rsidRDefault="00F04449" w:rsidP="00F04449">
      <w:pPr>
        <w:pStyle w:val="NormalWeb"/>
      </w:pPr>
      <w:r>
        <w:t>3. Les dispositions des traités s'appliquent aux territoires européens dont un État membre assume les relations extérieures.</w:t>
      </w:r>
    </w:p>
    <w:p w:rsidR="00F04449" w:rsidRDefault="00F04449" w:rsidP="00F04449">
      <w:pPr>
        <w:pStyle w:val="NormalWeb"/>
      </w:pPr>
      <w:r>
        <w:t>4. Les dispositions des traités s'appliquent aux îles Åland conformément aux dispositions figurant au protocole no 2 de l'acte relatif aux conditions d'adhésion de la République d'Autriche, de la République de Finlande et du Royaume de Suède.</w:t>
      </w:r>
    </w:p>
    <w:p w:rsidR="00F04449" w:rsidRDefault="00F04449" w:rsidP="00F04449">
      <w:pPr>
        <w:pStyle w:val="NormalWeb"/>
      </w:pPr>
      <w:r>
        <w:t>5. Par dérogation à l'article 52 du traité sur l'Union européenne et aux paragraphes 1 à 4 du présent article:</w:t>
      </w:r>
    </w:p>
    <w:p w:rsidR="00F04449" w:rsidRDefault="00F04449" w:rsidP="00F04449">
      <w:pPr>
        <w:pStyle w:val="NormalWeb"/>
      </w:pPr>
      <w:r>
        <w:t>a) les traités ne s'appliquent pas aux îles Féroé;</w:t>
      </w:r>
    </w:p>
    <w:p w:rsidR="00F04449" w:rsidRDefault="00F04449" w:rsidP="00F04449">
      <w:pPr>
        <w:pStyle w:val="NormalWeb"/>
      </w:pPr>
      <w:r>
        <w:t xml:space="preserve">b) les traités ne s'appliquent à </w:t>
      </w:r>
      <w:proofErr w:type="spellStart"/>
      <w:r>
        <w:t>Akrotiri</w:t>
      </w:r>
      <w:proofErr w:type="spellEnd"/>
      <w:r>
        <w:t xml:space="preserve"> et </w:t>
      </w:r>
      <w:proofErr w:type="spellStart"/>
      <w:r>
        <w:t>Dhekelia</w:t>
      </w:r>
      <w:proofErr w:type="spellEnd"/>
      <w:r>
        <w:t>, zones de souveraineté du Royaume-Uni de Grande-Bretagne et d'Irlande du Nord à Chypre, que dans la mesure nécessaire pour assurer l'application du régime prévu dans le protocole sur les zones de souveraineté du Royaume-Uni de Grande-Bretagne et d'Irlande du Nord à Chypre annexé à l'Acte relatif aux conditions d'adhésion à l'Union européenne de la République tchèque, de la République d'Estonie, de la République de Chypre, de la République de Lettonie, de la République de Lituanie, de la République de Hongrie, de la République de Malte, de la République de Pologne, de la République de Slovénie et de la République slovaque, et conformément aux dispositions dudit protocole;</w:t>
      </w:r>
    </w:p>
    <w:p w:rsidR="00F04449" w:rsidRDefault="00F04449" w:rsidP="00F04449">
      <w:pPr>
        <w:pStyle w:val="NormalWeb"/>
      </w:pPr>
      <w:r>
        <w:t>c) les dispositions des traités ne sont applicables aux îles Anglo-Normandes et à l'île de Man que dans la mesure nécessaire pour assurer l'application du régime prévu pour ces îles par le traité relatif à l'adhésion de nouveaux États membres à la Communauté économique européenne et à la Communauté européenne de l'énergie atomique, signé le 22 janvier 1972.</w:t>
      </w:r>
    </w:p>
    <w:p w:rsidR="00F04449" w:rsidRDefault="00F04449" w:rsidP="00F04449">
      <w:pPr>
        <w:pStyle w:val="NormalWeb"/>
      </w:pPr>
      <w:r>
        <w:t>6. Le Conseil européen, sur initiative de l'État membre concerné, peut adopter une décision modifiant le statut à l'égard de l'Union d'un pays ou territoire danois, français ou néerlandais visé aux paragraphes 1 et 2. Le Conseil européen statue à l'unanimité, après consultation de la Commission.</w:t>
      </w:r>
    </w:p>
    <w:p w:rsidR="00430CDF" w:rsidRDefault="00430CDF"/>
    <w:sectPr w:rsidR="00430C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449"/>
    <w:rsid w:val="00430CDF"/>
    <w:rsid w:val="00F0444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EBFA9"/>
  <w15:chartTrackingRefBased/>
  <w15:docId w15:val="{4FD07F9B-AFEF-488A-8213-CCB9D33B6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0444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5405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428</Words>
  <Characters>2358</Characters>
  <Application>Microsoft Office Word</Application>
  <DocSecurity>0</DocSecurity>
  <Lines>19</Lines>
  <Paragraphs>5</Paragraphs>
  <ScaleCrop>false</ScaleCrop>
  <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1</cp:revision>
  <dcterms:created xsi:type="dcterms:W3CDTF">2017-03-24T12:15:00Z</dcterms:created>
  <dcterms:modified xsi:type="dcterms:W3CDTF">2017-03-24T12:16:00Z</dcterms:modified>
</cp:coreProperties>
</file>