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4E65" w:rsidRPr="00BF4E65" w:rsidRDefault="00BF4E65" w:rsidP="00BF4E65">
      <w:pPr>
        <w:pStyle w:val="NormalWeb"/>
        <w:rPr>
          <w:sz w:val="22"/>
          <w:szCs w:val="22"/>
        </w:rPr>
      </w:pPr>
      <w:r w:rsidRPr="00BF4E65">
        <w:rPr>
          <w:b/>
          <w:sz w:val="22"/>
          <w:szCs w:val="22"/>
        </w:rPr>
        <w:t>Article 207</w:t>
      </w:r>
      <w:r w:rsidRPr="00BF4E65">
        <w:rPr>
          <w:sz w:val="22"/>
          <w:szCs w:val="22"/>
        </w:rPr>
        <w:t xml:space="preserve"> (ex-article 133 TCE)</w:t>
      </w:r>
      <w:bookmarkStart w:id="0" w:name="_GoBack"/>
      <w:bookmarkEnd w:id="0"/>
    </w:p>
    <w:p w:rsidR="00BF4E65" w:rsidRPr="00BF4E65" w:rsidRDefault="00BF4E65" w:rsidP="00BF4E65">
      <w:pPr>
        <w:pStyle w:val="NormalWeb"/>
        <w:rPr>
          <w:sz w:val="22"/>
          <w:szCs w:val="22"/>
        </w:rPr>
      </w:pPr>
      <w:r w:rsidRPr="00BF4E65">
        <w:rPr>
          <w:sz w:val="22"/>
          <w:szCs w:val="22"/>
        </w:rPr>
        <w:t>1. La politique commerciale commune est fondée sur des principes uniformes, notamment en ce qui concerne les modifications tarifaires, la conclusion d'accords tarifaires et commerciaux relatifs aux échanges de marchandises et de services, et les aspects commerciaux de la propriété intellectuelle, les investissements étrangers directs, l'uniformisation des mesures de libéralisation, la politique d'exportation, ainsi que les mesures de défense commerciale, dont celles à prendre en cas de dumping et de subventions. La politique commerciale commune est menée dans le cadre des principes et objectifs de l'action extérieure de l'Union.</w:t>
      </w:r>
    </w:p>
    <w:p w:rsidR="00BF4E65" w:rsidRPr="00BF4E65" w:rsidRDefault="00BF4E65" w:rsidP="00BF4E65">
      <w:pPr>
        <w:pStyle w:val="NormalWeb"/>
        <w:rPr>
          <w:sz w:val="22"/>
          <w:szCs w:val="22"/>
        </w:rPr>
      </w:pPr>
      <w:r w:rsidRPr="00BF4E65">
        <w:rPr>
          <w:sz w:val="22"/>
          <w:szCs w:val="22"/>
        </w:rPr>
        <w:t>2. Le Parlement européen et le Conseil, statuant par voie de règlements conformément à la procédure législative ordinaire, adoptent les mesures définissant le cadre dans lequel est mise en œuvre la politique commerciale commune.</w:t>
      </w:r>
    </w:p>
    <w:p w:rsidR="00BF4E65" w:rsidRPr="00BF4E65" w:rsidRDefault="00BF4E65" w:rsidP="00BF4E65">
      <w:pPr>
        <w:pStyle w:val="NormalWeb"/>
        <w:rPr>
          <w:sz w:val="22"/>
          <w:szCs w:val="22"/>
        </w:rPr>
      </w:pPr>
      <w:r w:rsidRPr="00BF4E65">
        <w:rPr>
          <w:sz w:val="22"/>
          <w:szCs w:val="22"/>
        </w:rPr>
        <w:t>3. Si des accords avec un ou plusieurs pays tiers ou organisations internationales doivent être négociés et conclus, l'article 218 est applicable, sous réserve des dispositions particulières du présent article.</w:t>
      </w:r>
    </w:p>
    <w:p w:rsidR="00BF4E65" w:rsidRPr="00BF4E65" w:rsidRDefault="00BF4E65" w:rsidP="00BF4E65">
      <w:pPr>
        <w:pStyle w:val="NormalWeb"/>
        <w:rPr>
          <w:sz w:val="22"/>
          <w:szCs w:val="22"/>
        </w:rPr>
      </w:pPr>
      <w:r w:rsidRPr="00BF4E65">
        <w:rPr>
          <w:sz w:val="22"/>
          <w:szCs w:val="22"/>
        </w:rPr>
        <w:t>La Commission présente des recommandations au Conseil, qui l'autorise à ouvrir les négociations nécessaires. Il appartient au Conseil et à la Commission de veiller à ce que les accords négociés soient compatibles avec les politiques et règles internes de l'Union.</w:t>
      </w:r>
    </w:p>
    <w:p w:rsidR="00BF4E65" w:rsidRPr="00BF4E65" w:rsidRDefault="00BF4E65" w:rsidP="00BF4E65">
      <w:pPr>
        <w:pStyle w:val="NormalWeb"/>
        <w:rPr>
          <w:sz w:val="22"/>
          <w:szCs w:val="22"/>
        </w:rPr>
      </w:pPr>
      <w:r w:rsidRPr="00BF4E65">
        <w:rPr>
          <w:sz w:val="22"/>
          <w:szCs w:val="22"/>
        </w:rPr>
        <w:t>Ces négociations sont conduites par la Commission en consultation avec un comité spécial désigné par le Conseil pour l'assister dans cette tâche et dans le cadre des directives que le Conseil peut lui adresser. La Commission fait régulièrement rapport au comité spécial, ainsi qu'au Parlement européen, sur l'état d'avancement des négociations.</w:t>
      </w:r>
    </w:p>
    <w:p w:rsidR="00BF4E65" w:rsidRPr="00BF4E65" w:rsidRDefault="00BF4E65" w:rsidP="00BF4E65">
      <w:pPr>
        <w:pStyle w:val="NormalWeb"/>
        <w:rPr>
          <w:sz w:val="22"/>
          <w:szCs w:val="22"/>
        </w:rPr>
      </w:pPr>
      <w:r w:rsidRPr="00BF4E65">
        <w:rPr>
          <w:sz w:val="22"/>
          <w:szCs w:val="22"/>
        </w:rPr>
        <w:t>4. Pour la négociation et la conclusion des accords visés au paragraphe 3, le Conseil statue à la majorité qualifiée.</w:t>
      </w:r>
    </w:p>
    <w:p w:rsidR="00BF4E65" w:rsidRPr="00BF4E65" w:rsidRDefault="00BF4E65" w:rsidP="00BF4E65">
      <w:pPr>
        <w:pStyle w:val="NormalWeb"/>
        <w:rPr>
          <w:sz w:val="22"/>
          <w:szCs w:val="22"/>
        </w:rPr>
      </w:pPr>
      <w:r w:rsidRPr="00BF4E65">
        <w:rPr>
          <w:sz w:val="22"/>
          <w:szCs w:val="22"/>
        </w:rPr>
        <w:t>Pour la négociation et la conclusion d'un accord dans les domaines du commerce de services et des aspects commerciaux de la propriété intellectuelle, ainsi que des investissements étrangers directs, le Conseil statue à l'unanimité lorsque cet accord comprend des dispositions pour lesquelles l'unanimité est requise pour l'adoption de règles internes.</w:t>
      </w:r>
    </w:p>
    <w:p w:rsidR="00BF4E65" w:rsidRPr="00BF4E65" w:rsidRDefault="00BF4E65" w:rsidP="00BF4E65">
      <w:pPr>
        <w:pStyle w:val="NormalWeb"/>
        <w:rPr>
          <w:sz w:val="22"/>
          <w:szCs w:val="22"/>
        </w:rPr>
      </w:pPr>
      <w:r w:rsidRPr="00BF4E65">
        <w:rPr>
          <w:sz w:val="22"/>
          <w:szCs w:val="22"/>
        </w:rPr>
        <w:t>Le Conseil statue également à l'unanimité pour la négociation et la conclusion d'accords:</w:t>
      </w:r>
    </w:p>
    <w:p w:rsidR="00BF4E65" w:rsidRPr="00BF4E65" w:rsidRDefault="00BF4E65" w:rsidP="00BF4E65">
      <w:pPr>
        <w:pStyle w:val="NormalWeb"/>
        <w:rPr>
          <w:sz w:val="22"/>
          <w:szCs w:val="22"/>
        </w:rPr>
      </w:pPr>
      <w:r w:rsidRPr="00BF4E65">
        <w:rPr>
          <w:sz w:val="22"/>
          <w:szCs w:val="22"/>
        </w:rPr>
        <w:t>a) dans le domaine du commerce des services culturels et audiovisuels, lorsque ces accords risquent de porter atteinte à la diversité culturelle et linguistique de l'Union;</w:t>
      </w:r>
    </w:p>
    <w:p w:rsidR="00BF4E65" w:rsidRPr="00BF4E65" w:rsidRDefault="00BF4E65" w:rsidP="00BF4E65">
      <w:pPr>
        <w:pStyle w:val="NormalWeb"/>
        <w:rPr>
          <w:sz w:val="22"/>
          <w:szCs w:val="22"/>
        </w:rPr>
      </w:pPr>
      <w:r w:rsidRPr="00BF4E65">
        <w:rPr>
          <w:sz w:val="22"/>
          <w:szCs w:val="22"/>
        </w:rPr>
        <w:t>b) dans le domaine du commerce des services sociaux, d'éducation et de santé, lorsque ces accords risquent de perturber gravement l'organisation de ces services au niveau national et de porter atteinte à la responsabilité des États membres pour la fourniture de ces services.</w:t>
      </w:r>
    </w:p>
    <w:p w:rsidR="00BF4E65" w:rsidRPr="00BF4E65" w:rsidRDefault="00BF4E65" w:rsidP="00BF4E65">
      <w:pPr>
        <w:pStyle w:val="NormalWeb"/>
        <w:rPr>
          <w:sz w:val="22"/>
          <w:szCs w:val="22"/>
        </w:rPr>
      </w:pPr>
      <w:r w:rsidRPr="00BF4E65">
        <w:rPr>
          <w:sz w:val="22"/>
          <w:szCs w:val="22"/>
        </w:rPr>
        <w:t xml:space="preserve">5. La négociation et la conclusion d'accords internationaux dans le domaine des transports relèvent du titre VI </w:t>
      </w:r>
      <w:proofErr w:type="gramStart"/>
      <w:r w:rsidRPr="00BF4E65">
        <w:rPr>
          <w:sz w:val="22"/>
          <w:szCs w:val="22"/>
        </w:rPr>
        <w:t>de</w:t>
      </w:r>
      <w:proofErr w:type="gramEnd"/>
      <w:r w:rsidRPr="00BF4E65">
        <w:rPr>
          <w:sz w:val="22"/>
          <w:szCs w:val="22"/>
        </w:rPr>
        <w:t xml:space="preserve"> la troisième partie, et de l'article 218.</w:t>
      </w:r>
    </w:p>
    <w:p w:rsidR="00BF4E65" w:rsidRPr="00BF4E65" w:rsidRDefault="00BF4E65" w:rsidP="00BF4E65">
      <w:pPr>
        <w:pStyle w:val="NormalWeb"/>
        <w:rPr>
          <w:sz w:val="22"/>
          <w:szCs w:val="22"/>
        </w:rPr>
      </w:pPr>
      <w:r w:rsidRPr="00BF4E65">
        <w:rPr>
          <w:sz w:val="22"/>
          <w:szCs w:val="22"/>
        </w:rPr>
        <w:t>6. L'exercice des compétences attribuées par le présent article dans le domaine de la politique commerciale commune n'affecte pas la délimitation des compétences entre l'Union et les États membres et n'entraîne pas une harmonisation des dispositions législatives ou réglementaires des États membres dans la mesure où les traités excluent une telle harmonisation.</w:t>
      </w:r>
    </w:p>
    <w:p w:rsidR="00BF4E65" w:rsidRPr="00BF4E65" w:rsidRDefault="00BF4E65" w:rsidP="00BF4E65">
      <w:pPr>
        <w:rPr>
          <w:lang w:val="fr-FR"/>
        </w:rPr>
      </w:pPr>
    </w:p>
    <w:p w:rsidR="00430CDF" w:rsidRPr="00BF4E65" w:rsidRDefault="00430CDF">
      <w:pPr>
        <w:rPr>
          <w:rFonts w:ascii="Times New Roman" w:hAnsi="Times New Roman" w:cs="Times New Roman"/>
          <w:lang w:val="fr-FR"/>
        </w:rPr>
      </w:pPr>
    </w:p>
    <w:sectPr w:rsidR="00430CDF" w:rsidRPr="00BF4E65" w:rsidSect="00BF4E65">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DengXian">
    <w:altName w:val="SimSun"/>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3" w:usb2="00000009" w:usb3="00000000" w:csb0="000001FF" w:csb1="00000000"/>
  </w:font>
  <w:font w:name="DengXian Light">
    <w:altName w:val="MS Mincho"/>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E65"/>
    <w:rsid w:val="00430CDF"/>
    <w:rsid w:val="00BF4E65"/>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7A2DA"/>
  <w15:chartTrackingRefBased/>
  <w15:docId w15:val="{875CEAAC-D46C-455C-B174-0B8735FAF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4E65"/>
    <w:rPr>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BF4E65"/>
    <w:pPr>
      <w:spacing w:before="100" w:beforeAutospacing="1" w:after="100" w:afterAutospacing="1" w:line="240" w:lineRule="auto"/>
    </w:pPr>
    <w:rPr>
      <w:rFonts w:ascii="Times New Roman" w:eastAsia="Times New Roman" w:hAnsi="Times New Roman" w:cs="Times New Roman"/>
      <w:sz w:val="24"/>
      <w:szCs w:val="24"/>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500</Words>
  <Characters>2750</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dc:creator>
  <cp:keywords/>
  <dc:description/>
  <cp:lastModifiedBy>OT</cp:lastModifiedBy>
  <cp:revision>1</cp:revision>
  <dcterms:created xsi:type="dcterms:W3CDTF">2017-04-12T05:32:00Z</dcterms:created>
  <dcterms:modified xsi:type="dcterms:W3CDTF">2017-04-12T05:33:00Z</dcterms:modified>
</cp:coreProperties>
</file>