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D96" w:rsidRDefault="00326D96" w:rsidP="00326D96">
      <w:pPr>
        <w:jc w:val="right"/>
        <w:rPr>
          <w:rFonts w:ascii="Times New Roman" w:hAnsi="Times New Roman" w:cs="Times New Roman"/>
          <w:b/>
          <w:sz w:val="24"/>
          <w:szCs w:val="24"/>
          <w:lang w:val="fr-FR"/>
        </w:rPr>
      </w:pPr>
      <w:r>
        <w:rPr>
          <w:rFonts w:ascii="Times New Roman" w:eastAsia="Times New Roman" w:hAnsi="Times New Roman" w:cs="Times New Roman"/>
          <w:b/>
          <w:noProof/>
          <w:sz w:val="24"/>
          <w:szCs w:val="24"/>
          <w:lang w:val="fr-FR"/>
        </w:rPr>
        <w:drawing>
          <wp:inline distT="0" distB="0" distL="0" distR="0" wp14:anchorId="13C15AE7" wp14:editId="7BC9178C">
            <wp:extent cx="615763" cy="521587"/>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Olivia_BLOG_peti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47243" cy="548252"/>
                    </a:xfrm>
                    <a:prstGeom prst="rect">
                      <a:avLst/>
                    </a:prstGeom>
                  </pic:spPr>
                </pic:pic>
              </a:graphicData>
            </a:graphic>
          </wp:inline>
        </w:drawing>
      </w:r>
    </w:p>
    <w:p w:rsidR="002424A9" w:rsidRPr="002424A9" w:rsidRDefault="002424A9" w:rsidP="002424A9">
      <w:pPr>
        <w:jc w:val="center"/>
        <w:rPr>
          <w:rFonts w:ascii="Times New Roman" w:hAnsi="Times New Roman" w:cs="Times New Roman"/>
          <w:b/>
          <w:sz w:val="24"/>
          <w:szCs w:val="24"/>
          <w:lang w:val="fr-FR"/>
        </w:rPr>
      </w:pPr>
      <w:r w:rsidRPr="002424A9">
        <w:rPr>
          <w:rFonts w:ascii="Times New Roman" w:hAnsi="Times New Roman" w:cs="Times New Roman"/>
          <w:b/>
          <w:sz w:val="24"/>
          <w:szCs w:val="24"/>
          <w:lang w:val="fr-FR"/>
        </w:rPr>
        <w:t>Les trois références explicites au concept de “droit à l’oubli” dans le Règlement Général de la Protection des Données</w:t>
      </w:r>
    </w:p>
    <w:p w:rsidR="00A4578B" w:rsidRDefault="00A4578B">
      <w:pPr>
        <w:rPr>
          <w:rFonts w:ascii="Times New Roman" w:eastAsia="Times New Roman" w:hAnsi="Times New Roman" w:cs="Times New Roman"/>
          <w:b/>
          <w:sz w:val="24"/>
          <w:szCs w:val="24"/>
          <w:lang w:val="fr-FR"/>
        </w:rPr>
      </w:pPr>
    </w:p>
    <w:p w:rsidR="00326D96" w:rsidRDefault="00326D96">
      <w:pPr>
        <w:rPr>
          <w:rFonts w:ascii="Times New Roman" w:eastAsia="Times New Roman" w:hAnsi="Times New Roman" w:cs="Times New Roman"/>
          <w:b/>
          <w:sz w:val="24"/>
          <w:szCs w:val="24"/>
          <w:lang w:val="fr-FR"/>
        </w:rPr>
      </w:pPr>
      <w:bookmarkStart w:id="0" w:name="_GoBack"/>
      <w:bookmarkEnd w:id="0"/>
    </w:p>
    <w:p w:rsidR="002424A9" w:rsidRPr="002424A9" w:rsidRDefault="002424A9">
      <w:pPr>
        <w:rPr>
          <w:rFonts w:ascii="Times New Roman" w:eastAsia="Times New Roman" w:hAnsi="Times New Roman" w:cs="Times New Roman"/>
          <w:b/>
          <w:sz w:val="24"/>
          <w:szCs w:val="24"/>
          <w:lang w:val="fr-FR"/>
        </w:rPr>
      </w:pPr>
      <w:r w:rsidRPr="002424A9">
        <w:rPr>
          <w:rFonts w:ascii="Times New Roman" w:eastAsia="Times New Roman" w:hAnsi="Times New Roman" w:cs="Times New Roman"/>
          <w:b/>
          <w:sz w:val="24"/>
          <w:szCs w:val="24"/>
          <w:lang w:val="fr-FR"/>
        </w:rPr>
        <w:t xml:space="preserve">Considérant </w:t>
      </w:r>
      <w:r>
        <w:rPr>
          <w:rFonts w:ascii="Times New Roman" w:eastAsia="Times New Roman" w:hAnsi="Times New Roman" w:cs="Times New Roman"/>
          <w:b/>
          <w:sz w:val="24"/>
          <w:szCs w:val="24"/>
          <w:lang w:val="fr-FR"/>
        </w:rPr>
        <w:t>(</w:t>
      </w:r>
      <w:r w:rsidRPr="002424A9">
        <w:rPr>
          <w:rFonts w:ascii="Times New Roman" w:eastAsia="Times New Roman" w:hAnsi="Times New Roman" w:cs="Times New Roman"/>
          <w:b/>
          <w:sz w:val="24"/>
          <w:szCs w:val="24"/>
          <w:lang w:val="fr-FR"/>
        </w:rPr>
        <w:t>65)</w:t>
      </w:r>
    </w:p>
    <w:tbl>
      <w:tblPr>
        <w:tblW w:w="5000" w:type="pct"/>
        <w:tblCellSpacing w:w="0" w:type="dxa"/>
        <w:tblCellMar>
          <w:left w:w="0" w:type="dxa"/>
          <w:right w:w="0" w:type="dxa"/>
        </w:tblCellMar>
        <w:tblLook w:val="04A0" w:firstRow="1" w:lastRow="0" w:firstColumn="1" w:lastColumn="0" w:noHBand="0" w:noVBand="1"/>
      </w:tblPr>
      <w:tblGrid>
        <w:gridCol w:w="6"/>
        <w:gridCol w:w="13998"/>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sz w:val="24"/>
                <w:szCs w:val="24"/>
                <w:lang w:val="fr-FR"/>
              </w:rPr>
            </w:pPr>
          </w:p>
        </w:tc>
        <w:tc>
          <w:tcPr>
            <w:tcW w:w="0" w:type="auto"/>
            <w:hideMark/>
          </w:tcPr>
          <w:p w:rsidR="002424A9" w:rsidRPr="000E64B2" w:rsidRDefault="002424A9" w:rsidP="002424A9">
            <w:pPr>
              <w:spacing w:before="100" w:beforeAutospacing="1" w:after="100" w:afterAutospacing="1" w:line="240" w:lineRule="auto"/>
              <w:jc w:val="both"/>
              <w:rPr>
                <w:rFonts w:ascii="Times New Roman" w:eastAsia="Times New Roman" w:hAnsi="Times New Roman" w:cs="Times New Roman"/>
                <w:lang w:val="fr-FR"/>
              </w:rPr>
            </w:pPr>
            <w:r w:rsidRPr="002424A9">
              <w:rPr>
                <w:rFonts w:ascii="Times New Roman" w:eastAsia="Times New Roman" w:hAnsi="Times New Roman" w:cs="Times New Roman"/>
                <w:lang w:val="fr-FR"/>
              </w:rPr>
              <w:t>Les personnes concernées devraient avoir le droit de faire rectifier des données à caractère personnel les concernant, et disposer d'un</w:t>
            </w:r>
            <w:proofErr w:type="gramStart"/>
            <w:r w:rsidRPr="002424A9">
              <w:rPr>
                <w:rFonts w:ascii="Times New Roman" w:eastAsia="Times New Roman" w:hAnsi="Times New Roman" w:cs="Times New Roman"/>
                <w:lang w:val="fr-FR"/>
              </w:rPr>
              <w:t xml:space="preserve"> </w:t>
            </w:r>
            <w:r w:rsidRPr="002424A9">
              <w:rPr>
                <w:rFonts w:ascii="Times New Roman" w:eastAsia="Times New Roman" w:hAnsi="Times New Roman" w:cs="Times New Roman"/>
                <w:b/>
                <w:lang w:val="fr-FR"/>
              </w:rPr>
              <w:t>«droit</w:t>
            </w:r>
            <w:proofErr w:type="gramEnd"/>
            <w:r w:rsidRPr="002424A9">
              <w:rPr>
                <w:rFonts w:ascii="Times New Roman" w:eastAsia="Times New Roman" w:hAnsi="Times New Roman" w:cs="Times New Roman"/>
                <w:b/>
                <w:lang w:val="fr-FR"/>
              </w:rPr>
              <w:t xml:space="preserve"> à l'oubli»</w:t>
            </w:r>
            <w:r w:rsidRPr="002424A9">
              <w:rPr>
                <w:rFonts w:ascii="Times New Roman" w:eastAsia="Times New Roman" w:hAnsi="Times New Roman" w:cs="Times New Roman"/>
                <w:lang w:val="fr-FR"/>
              </w:rPr>
              <w:t xml:space="preserve"> lorsque la conservation de ces données constitue une violation du présent règlement ou du droit de l'Union ou du droit d'un État membre auquel le responsable du traitement est soumis. En particulier, les personnes concernées devraient avoir le droit d'obtenir que leurs données à caractère personnel soient effacées et ne soient plus traitées, lorsque ces données à caractère personnel ne sont plus nécessaires au regard des finalités pour lesquelles elles ont été collectées ou traitées d'une autre manière, lorsque les personnes concernées ont retiré leur consentement au traitement ou lorsqu'elles s'opposent au traitement de données à caractère personnel les concernant, ou encore lorsque le traitement de leurs données à caractère personnel ne respecte pas d'une autre manière le présent règlement. Ce droit est pertinent, en particulier, lorsque la personne concernée a donné son consentement à l'époque où elle était enfant et n'était pas pleinement consciente des risques inhérents au traitement, et qu'elle souhaite par la suite supprimer ces données à caractère personnel, en particulier sur l'internet. La personne concernée devrait pouvoir exercer ce droit nonobstant le fait qu'elle n'est plus un enfant. Toutefois, la conservation ultérieure des données à caractère personnel devrait être licite lorsqu'elle est nécessaire à l'exercice du droit à la liberté d'expression et d'information, au respect d'une obligation légale, à l'exécution d'une mission d'intérêt public ou relevant de l'exercice de l'autorité publique dont est investi le responsable du traitement, pour des motifs d'intérêt public dans le domaine de la santé publique, à des fins archivistiques dans l'intérêt public, à des fins de recherche scientifique ou historique ou à des fins statistiques, ou à la constatation, à l'exercice ou à la défense de droits en justice.</w:t>
            </w:r>
          </w:p>
          <w:p w:rsidR="00A4578B" w:rsidRDefault="002424A9" w:rsidP="002424A9">
            <w:pPr>
              <w:spacing w:before="100" w:beforeAutospacing="1" w:after="100" w:afterAutospacing="1" w:line="240" w:lineRule="auto"/>
              <w:jc w:val="both"/>
              <w:rPr>
                <w:rFonts w:ascii="Times New Roman" w:eastAsia="Times New Roman" w:hAnsi="Times New Roman" w:cs="Times New Roman"/>
                <w:b/>
                <w:sz w:val="24"/>
                <w:szCs w:val="24"/>
                <w:lang w:val="fr-FR"/>
              </w:rPr>
            </w:pPr>
            <w:r w:rsidRPr="002424A9">
              <w:rPr>
                <w:rFonts w:ascii="Times New Roman" w:eastAsia="Times New Roman" w:hAnsi="Times New Roman" w:cs="Times New Roman"/>
                <w:b/>
                <w:sz w:val="24"/>
                <w:szCs w:val="24"/>
                <w:lang w:val="fr-FR"/>
              </w:rPr>
              <w:t xml:space="preserve">Considérant </w:t>
            </w:r>
            <w:r>
              <w:rPr>
                <w:rFonts w:ascii="Times New Roman" w:eastAsia="Times New Roman" w:hAnsi="Times New Roman" w:cs="Times New Roman"/>
                <w:b/>
                <w:sz w:val="24"/>
                <w:szCs w:val="24"/>
                <w:lang w:val="fr-FR"/>
              </w:rPr>
              <w:t>(</w:t>
            </w:r>
            <w:r w:rsidRPr="002424A9">
              <w:rPr>
                <w:rFonts w:ascii="Times New Roman" w:eastAsia="Times New Roman" w:hAnsi="Times New Roman" w:cs="Times New Roman"/>
                <w:b/>
                <w:sz w:val="24"/>
                <w:szCs w:val="24"/>
                <w:lang w:val="fr-FR"/>
              </w:rPr>
              <w:t>66</w:t>
            </w:r>
            <w:r>
              <w:rPr>
                <w:rFonts w:ascii="Times New Roman" w:eastAsia="Times New Roman" w:hAnsi="Times New Roman" w:cs="Times New Roman"/>
                <w:b/>
                <w:sz w:val="24"/>
                <w:szCs w:val="24"/>
                <w:lang w:val="fr-FR"/>
              </w:rPr>
              <w:t>)</w:t>
            </w:r>
          </w:p>
          <w:p w:rsidR="00A4578B" w:rsidRPr="002424A9" w:rsidRDefault="00A4578B" w:rsidP="002424A9">
            <w:pPr>
              <w:spacing w:before="100" w:beforeAutospacing="1" w:after="100" w:afterAutospacing="1" w:line="240" w:lineRule="auto"/>
              <w:jc w:val="both"/>
              <w:rPr>
                <w:rFonts w:ascii="Times New Roman" w:eastAsia="Times New Roman" w:hAnsi="Times New Roman" w:cs="Times New Roman"/>
                <w:b/>
                <w:sz w:val="24"/>
                <w:szCs w:val="24"/>
                <w:lang w:val="fr-FR"/>
              </w:rPr>
            </w:pPr>
          </w:p>
        </w:tc>
      </w:tr>
    </w:tbl>
    <w:p w:rsidR="002424A9" w:rsidRPr="002424A9" w:rsidRDefault="002424A9" w:rsidP="002424A9">
      <w:pPr>
        <w:spacing w:after="0" w:line="240" w:lineRule="auto"/>
        <w:rPr>
          <w:rFonts w:ascii="Times New Roman" w:eastAsia="Times New Roman" w:hAnsi="Times New Roman" w:cs="Times New Roman"/>
          <w:vanish/>
          <w:sz w:val="24"/>
          <w:szCs w:val="24"/>
          <w:lang w:val="fr-FR"/>
        </w:rPr>
      </w:pPr>
    </w:p>
    <w:tbl>
      <w:tblPr>
        <w:tblW w:w="5000" w:type="pct"/>
        <w:tblCellSpacing w:w="0" w:type="dxa"/>
        <w:tblCellMar>
          <w:left w:w="0" w:type="dxa"/>
          <w:right w:w="0" w:type="dxa"/>
        </w:tblCellMar>
        <w:tblLook w:val="04A0" w:firstRow="1" w:lastRow="0" w:firstColumn="1" w:lastColumn="0" w:noHBand="0" w:noVBand="1"/>
      </w:tblPr>
      <w:tblGrid>
        <w:gridCol w:w="6"/>
        <w:gridCol w:w="13998"/>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sz w:val="24"/>
                <w:szCs w:val="24"/>
                <w:lang w:val="fr-FR"/>
              </w:rPr>
            </w:pP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 xml:space="preserve">Afin de renforcer </w:t>
            </w:r>
            <w:r w:rsidRPr="002424A9">
              <w:rPr>
                <w:rFonts w:ascii="Times New Roman" w:eastAsia="Times New Roman" w:hAnsi="Times New Roman" w:cs="Times New Roman"/>
                <w:b/>
                <w:lang w:val="fr-FR"/>
              </w:rPr>
              <w:t>le</w:t>
            </w:r>
            <w:proofErr w:type="gramStart"/>
            <w:r w:rsidRPr="002424A9">
              <w:rPr>
                <w:rFonts w:ascii="Times New Roman" w:eastAsia="Times New Roman" w:hAnsi="Times New Roman" w:cs="Times New Roman"/>
                <w:b/>
                <w:lang w:val="fr-FR"/>
              </w:rPr>
              <w:t xml:space="preserve"> «droit</w:t>
            </w:r>
            <w:proofErr w:type="gramEnd"/>
            <w:r w:rsidRPr="002424A9">
              <w:rPr>
                <w:rFonts w:ascii="Times New Roman" w:eastAsia="Times New Roman" w:hAnsi="Times New Roman" w:cs="Times New Roman"/>
                <w:b/>
                <w:lang w:val="fr-FR"/>
              </w:rPr>
              <w:t xml:space="preserve"> à l'oubli» numérique</w:t>
            </w:r>
            <w:r w:rsidRPr="002424A9">
              <w:rPr>
                <w:rFonts w:ascii="Times New Roman" w:eastAsia="Times New Roman" w:hAnsi="Times New Roman" w:cs="Times New Roman"/>
                <w:lang w:val="fr-FR"/>
              </w:rPr>
              <w:t>, le droit à l'effacement devrait également être étendu de façon à ce que le responsable du traitement qui a rendu les données à caractère personnel publiques soit tenu d'informer les responsables du traitement qui traitent ces données à caractère personnel qu'il convient d'effacer tout lien vers ces données, ou toute copie ou reproduction de celles-ci. Ce faisant, ce responsable du traitement devrait prendre des mesures raisonnables, compte tenu des technologies disponibles et des moyens dont il dispose, y compris des mesures techniques afin d'informer les responsables du traitement qui traitent les données à caractère personnel de la demande formulée par la personne concernée.</w:t>
            </w:r>
          </w:p>
        </w:tc>
      </w:tr>
    </w:tbl>
    <w:p w:rsidR="000E64B2" w:rsidRDefault="000E64B2" w:rsidP="000E64B2">
      <w:pPr>
        <w:rPr>
          <w:rFonts w:ascii="Times New Roman" w:eastAsia="Times New Roman" w:hAnsi="Times New Roman" w:cs="Times New Roman"/>
          <w:b/>
          <w:sz w:val="24"/>
          <w:szCs w:val="24"/>
          <w:lang w:val="fr-FR"/>
        </w:rPr>
      </w:pPr>
    </w:p>
    <w:p w:rsidR="002424A9" w:rsidRPr="002424A9" w:rsidRDefault="000E64B2" w:rsidP="000E64B2">
      <w:pPr>
        <w:rPr>
          <w:rFonts w:ascii="Times New Roman" w:eastAsia="Times New Roman" w:hAnsi="Times New Roman" w:cs="Times New Roman"/>
          <w:b/>
          <w:sz w:val="24"/>
          <w:szCs w:val="24"/>
          <w:lang w:val="fr-FR"/>
        </w:rPr>
      </w:pPr>
      <w:r>
        <w:rPr>
          <w:rFonts w:ascii="Times New Roman" w:eastAsia="Times New Roman" w:hAnsi="Times New Roman" w:cs="Times New Roman"/>
          <w:b/>
          <w:sz w:val="24"/>
          <w:szCs w:val="24"/>
          <w:lang w:val="fr-FR"/>
        </w:rPr>
        <w:lastRenderedPageBreak/>
        <w:t xml:space="preserve">Article 17 : </w:t>
      </w:r>
      <w:r w:rsidR="002424A9" w:rsidRPr="002424A9">
        <w:rPr>
          <w:rFonts w:ascii="Times New Roman" w:eastAsia="Times New Roman" w:hAnsi="Times New Roman" w:cs="Times New Roman"/>
          <w:b/>
          <w:sz w:val="24"/>
          <w:szCs w:val="24"/>
          <w:lang w:val="fr-FR"/>
        </w:rPr>
        <w:t>Droit à l'effacement</w:t>
      </w:r>
      <w:r w:rsidR="002424A9" w:rsidRPr="002424A9">
        <w:rPr>
          <w:rFonts w:ascii="Times New Roman" w:eastAsia="Times New Roman" w:hAnsi="Times New Roman" w:cs="Times New Roman"/>
          <w:sz w:val="24"/>
          <w:szCs w:val="24"/>
          <w:lang w:val="fr-FR"/>
        </w:rPr>
        <w:t xml:space="preserve"> </w:t>
      </w:r>
      <w:r w:rsidRPr="002424A9">
        <w:rPr>
          <w:rFonts w:ascii="Times New Roman" w:eastAsia="Times New Roman" w:hAnsi="Times New Roman" w:cs="Times New Roman"/>
          <w:b/>
          <w:sz w:val="24"/>
          <w:szCs w:val="24"/>
          <w:lang w:val="fr-FR"/>
        </w:rPr>
        <w:t>(« droit</w:t>
      </w:r>
      <w:r w:rsidR="002424A9" w:rsidRPr="002424A9">
        <w:rPr>
          <w:rFonts w:ascii="Times New Roman" w:eastAsia="Times New Roman" w:hAnsi="Times New Roman" w:cs="Times New Roman"/>
          <w:b/>
          <w:sz w:val="24"/>
          <w:szCs w:val="24"/>
          <w:lang w:val="fr-FR"/>
        </w:rPr>
        <w:t xml:space="preserve"> à </w:t>
      </w:r>
      <w:r w:rsidRPr="002424A9">
        <w:rPr>
          <w:rFonts w:ascii="Times New Roman" w:eastAsia="Times New Roman" w:hAnsi="Times New Roman" w:cs="Times New Roman"/>
          <w:b/>
          <w:sz w:val="24"/>
          <w:szCs w:val="24"/>
          <w:lang w:val="fr-FR"/>
        </w:rPr>
        <w:t>l’oubli »</w:t>
      </w:r>
      <w:r w:rsidR="002424A9" w:rsidRPr="002424A9">
        <w:rPr>
          <w:rFonts w:ascii="Times New Roman" w:eastAsia="Times New Roman" w:hAnsi="Times New Roman" w:cs="Times New Roman"/>
          <w:b/>
          <w:sz w:val="24"/>
          <w:szCs w:val="24"/>
          <w:lang w:val="fr-FR"/>
        </w:rPr>
        <w:t>)</w:t>
      </w:r>
    </w:p>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1.   La personne concernée a le droit d'obtenir du responsable du traitement l'effacement, dans les meilleurs délais, de données à caractère personnel la concernant et le responsable du traitement a l'obligation d'effacer ces données à caractère personnel dans les meilleurs délais, lorsque l'un des motifs suivants s'applique:</w:t>
      </w:r>
    </w:p>
    <w:tbl>
      <w:tblPr>
        <w:tblW w:w="5000" w:type="pct"/>
        <w:tblCellSpacing w:w="0" w:type="dxa"/>
        <w:tblCellMar>
          <w:left w:w="0" w:type="dxa"/>
          <w:right w:w="0" w:type="dxa"/>
        </w:tblCellMar>
        <w:tblLook w:val="04A0" w:firstRow="1" w:lastRow="0" w:firstColumn="1" w:lastColumn="0" w:noHBand="0" w:noVBand="1"/>
      </w:tblPr>
      <w:tblGrid>
        <w:gridCol w:w="178"/>
        <w:gridCol w:w="13826"/>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a)</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les données à caractère personnel ne sont plus nécessaires au regard des finalités pour lesquelles elles ont été collectées ou traitées d'une autre manière;</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84"/>
        <w:gridCol w:w="13820"/>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b)</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la personne concernée retire le consentement sur lequel est fondé le traitement, conformément à l'article 6, paragraphe 1, point a), ou à l'article 9, paragraphe 2, point a), et il n'existe pas d'autre fondement juridique au traitement;</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71"/>
        <w:gridCol w:w="13833"/>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c)</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la personne concernée s'oppose au traitement en vertu de l'article 21, paragraphe 1, et il n'existe pas de motif légitime impérieux pour le traitement, ou la personne concernée s'oppose au traitement en vertu de l'article 21, paragraphe 2;</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400"/>
        <w:gridCol w:w="13604"/>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d)</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les données à caractère personnel ont fait l'objet d'un traitement illicite;</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71"/>
        <w:gridCol w:w="13833"/>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e)</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les données à caractère personnel doivent être effacées pour respecter une obligation légale qui est prévue par le droit de l'Union ou par le droit de l'État membre auquel le responsable du traitement est soumis;</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56"/>
        <w:gridCol w:w="13848"/>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f)</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les données à caractère personnel ont été collectées dans le cadre de l'offre de services de la société de l'information visée à l'article 8, paragraphe 1.</w:t>
            </w:r>
          </w:p>
        </w:tc>
      </w:tr>
    </w:tbl>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2.   Lorsqu'il a rendu publiques les données à caractère personnel et qu'il est tenu de les effacer en vertu du paragraphe 1, le responsable du traitement, compte tenu des technologies disponibles et des coûts de mise en œuvre, prend des mesures raisonnables, y compris d'ordre technique, pour informer les responsables du traitement qui traitent ces données à caractère personnel que la personne concernée a demandé l'effacement par ces responsables du traitement de tout lien vers ces données à caractère personnel, ou de toute copie ou reproduction de celles-ci.</w:t>
      </w:r>
    </w:p>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3.   Les paragraphes 1 et 2 ne s'appliquent pas dans la mesure où ce traitement est nécessaire:</w:t>
      </w:r>
    </w:p>
    <w:tbl>
      <w:tblPr>
        <w:tblW w:w="5000" w:type="pct"/>
        <w:tblCellSpacing w:w="0" w:type="dxa"/>
        <w:tblCellMar>
          <w:left w:w="0" w:type="dxa"/>
          <w:right w:w="0" w:type="dxa"/>
        </w:tblCellMar>
        <w:tblLook w:val="04A0" w:firstRow="1" w:lastRow="0" w:firstColumn="1" w:lastColumn="0" w:noHBand="0" w:noVBand="1"/>
      </w:tblPr>
      <w:tblGrid>
        <w:gridCol w:w="431"/>
        <w:gridCol w:w="13573"/>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a)</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à l'exercice du droit à la liberté d'expression et d'information;</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84"/>
        <w:gridCol w:w="13820"/>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b)</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pour respecter une obligation légale qui requiert le traitement prévue par le droit de l'Union ou par le droit de l'État membre auquel le responsable du traitement est soumis, ou pour exécuter une mission d'intérêt public ou relevant de l'exercice de l'autorité publique dont est investi le responsable du traitement;</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71"/>
        <w:gridCol w:w="13833"/>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c)</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pour des motifs d'intérêt public dans le domaine de la santé publique, conformément à l'article 9, paragraphe 2, points h) et i), ainsi qu'à l'article 9, paragraphe 3;</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184"/>
        <w:gridCol w:w="13820"/>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d)</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à des fins archivistiques dans l'intérêt public, à des fins de recherche scientifique ou historique ou à des fins statistiques conformément à l'article 89, paragraphe 1, dans la mesure où le droit visé au paragraphe 1 est susceptible de rendre impossible ou de compromettre gravement la réalisation des objectifs dudit traitement; ou</w:t>
            </w:r>
          </w:p>
        </w:tc>
      </w:tr>
    </w:tbl>
    <w:p w:rsidR="002424A9" w:rsidRPr="002424A9" w:rsidRDefault="002424A9" w:rsidP="002424A9">
      <w:pPr>
        <w:spacing w:after="0" w:line="240" w:lineRule="auto"/>
        <w:rPr>
          <w:rFonts w:ascii="Times New Roman" w:eastAsia="Times New Roman" w:hAnsi="Times New Roman" w:cs="Times New Roman"/>
          <w:vanish/>
          <w:lang w:val="fr-FR"/>
        </w:rPr>
      </w:pPr>
    </w:p>
    <w:tbl>
      <w:tblPr>
        <w:tblW w:w="5000" w:type="pct"/>
        <w:tblCellSpacing w:w="0" w:type="dxa"/>
        <w:tblCellMar>
          <w:left w:w="0" w:type="dxa"/>
          <w:right w:w="0" w:type="dxa"/>
        </w:tblCellMar>
        <w:tblLook w:val="04A0" w:firstRow="1" w:lastRow="0" w:firstColumn="1" w:lastColumn="0" w:noHBand="0" w:noVBand="1"/>
      </w:tblPr>
      <w:tblGrid>
        <w:gridCol w:w="411"/>
        <w:gridCol w:w="13593"/>
      </w:tblGrid>
      <w:tr w:rsidR="002424A9" w:rsidRPr="002424A9" w:rsidTr="002424A9">
        <w:trPr>
          <w:tblCellSpacing w:w="0" w:type="dxa"/>
        </w:trPr>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e)</w:t>
            </w:r>
          </w:p>
        </w:tc>
        <w:tc>
          <w:tcPr>
            <w:tcW w:w="0" w:type="auto"/>
            <w:hideMark/>
          </w:tcPr>
          <w:p w:rsidR="002424A9" w:rsidRPr="002424A9" w:rsidRDefault="002424A9" w:rsidP="002424A9">
            <w:pPr>
              <w:spacing w:before="100" w:beforeAutospacing="1" w:after="100" w:afterAutospacing="1" w:line="240" w:lineRule="auto"/>
              <w:rPr>
                <w:rFonts w:ascii="Times New Roman" w:eastAsia="Times New Roman" w:hAnsi="Times New Roman" w:cs="Times New Roman"/>
                <w:lang w:val="fr-FR"/>
              </w:rPr>
            </w:pPr>
            <w:r w:rsidRPr="002424A9">
              <w:rPr>
                <w:rFonts w:ascii="Times New Roman" w:eastAsia="Times New Roman" w:hAnsi="Times New Roman" w:cs="Times New Roman"/>
                <w:lang w:val="fr-FR"/>
              </w:rPr>
              <w:t>à la constatation, à l'exercice ou à la défense de droits en justice.</w:t>
            </w:r>
          </w:p>
        </w:tc>
      </w:tr>
    </w:tbl>
    <w:p w:rsidR="002424A9" w:rsidRPr="002424A9" w:rsidRDefault="002424A9">
      <w:pPr>
        <w:rPr>
          <w:rFonts w:ascii="Times New Roman" w:eastAsia="Times New Roman" w:hAnsi="Times New Roman" w:cs="Times New Roman"/>
          <w:b/>
          <w:sz w:val="24"/>
          <w:szCs w:val="24"/>
          <w:lang w:val="fr-FR"/>
        </w:rPr>
      </w:pPr>
    </w:p>
    <w:sectPr w:rsidR="002424A9" w:rsidRPr="002424A9" w:rsidSect="002424A9">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SimSun"/>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4A9"/>
    <w:rsid w:val="000E64B2"/>
    <w:rsid w:val="002424A9"/>
    <w:rsid w:val="00326D96"/>
    <w:rsid w:val="00430CDF"/>
    <w:rsid w:val="00A4578B"/>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3B8D6"/>
  <w15:chartTrackingRefBased/>
  <w15:docId w15:val="{34708098-F2DD-4FD7-80A8-5FBB3406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0">
    <w:name w:val="normal"/>
    <w:basedOn w:val="Normal"/>
    <w:rsid w:val="002424A9"/>
    <w:pPr>
      <w:spacing w:before="100" w:beforeAutospacing="1" w:after="100" w:afterAutospacing="1" w:line="240" w:lineRule="auto"/>
    </w:pPr>
    <w:rPr>
      <w:rFonts w:ascii="Times New Roman" w:eastAsia="Times New Roman" w:hAnsi="Times New Roman" w:cs="Times New Roman"/>
      <w:sz w:val="24"/>
      <w:szCs w:val="24"/>
      <w:lang w:val="fr-FR"/>
    </w:rPr>
  </w:style>
  <w:style w:type="paragraph" w:customStyle="1" w:styleId="ti-art">
    <w:name w:val="ti-art"/>
    <w:basedOn w:val="Normal"/>
    <w:rsid w:val="002424A9"/>
    <w:pPr>
      <w:spacing w:before="100" w:beforeAutospacing="1" w:after="100" w:afterAutospacing="1" w:line="240" w:lineRule="auto"/>
    </w:pPr>
    <w:rPr>
      <w:rFonts w:ascii="Times New Roman" w:eastAsia="Times New Roman" w:hAnsi="Times New Roman" w:cs="Times New Roman"/>
      <w:sz w:val="24"/>
      <w:szCs w:val="24"/>
      <w:lang w:val="fr-FR"/>
    </w:rPr>
  </w:style>
  <w:style w:type="paragraph" w:customStyle="1" w:styleId="sti-art">
    <w:name w:val="sti-art"/>
    <w:basedOn w:val="Normal"/>
    <w:rsid w:val="002424A9"/>
    <w:pPr>
      <w:spacing w:before="100" w:beforeAutospacing="1" w:after="100" w:afterAutospacing="1" w:line="240" w:lineRule="auto"/>
    </w:pPr>
    <w:rPr>
      <w:rFonts w:ascii="Times New Roman" w:eastAsia="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22857">
      <w:bodyDiv w:val="1"/>
      <w:marLeft w:val="0"/>
      <w:marRight w:val="0"/>
      <w:marTop w:val="0"/>
      <w:marBottom w:val="0"/>
      <w:divBdr>
        <w:top w:val="none" w:sz="0" w:space="0" w:color="auto"/>
        <w:left w:val="none" w:sz="0" w:space="0" w:color="auto"/>
        <w:bottom w:val="none" w:sz="0" w:space="0" w:color="auto"/>
        <w:right w:val="none" w:sz="0" w:space="0" w:color="auto"/>
      </w:divBdr>
    </w:div>
    <w:div w:id="143959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929</Words>
  <Characters>5113</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3</cp:revision>
  <dcterms:created xsi:type="dcterms:W3CDTF">2017-05-30T07:35:00Z</dcterms:created>
  <dcterms:modified xsi:type="dcterms:W3CDTF">2017-05-30T07:46:00Z</dcterms:modified>
</cp:coreProperties>
</file>