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8F3B01" w14:textId="77777777" w:rsidR="004D38CF" w:rsidRPr="004D38CF" w:rsidRDefault="004D38CF" w:rsidP="004D38CF">
      <w:pPr>
        <w:jc w:val="center"/>
        <w:rPr>
          <w:rFonts w:ascii="Times New Roman" w:hAnsi="Times New Roman" w:cs="Times New Roman"/>
          <w:b/>
          <w:i/>
          <w:color w:val="000000" w:themeColor="text1"/>
          <w:sz w:val="36"/>
          <w:szCs w:val="36"/>
          <w:u w:val="single"/>
        </w:rPr>
      </w:pPr>
      <w:r w:rsidRPr="004D38CF">
        <w:rPr>
          <w:rFonts w:ascii="Times New Roman" w:hAnsi="Times New Roman" w:cs="Times New Roman"/>
          <w:b/>
          <w:i/>
          <w:color w:val="000000" w:themeColor="text1"/>
          <w:sz w:val="36"/>
          <w:szCs w:val="36"/>
          <w:u w:val="single"/>
        </w:rPr>
        <w:t>Appel à contributions</w:t>
      </w:r>
    </w:p>
    <w:p w14:paraId="69D7622A" w14:textId="77777777" w:rsidR="004D38CF" w:rsidRPr="004D38CF" w:rsidRDefault="004D38CF" w:rsidP="004D38CF">
      <w:pPr>
        <w:rPr>
          <w:rFonts w:ascii="Times New Roman" w:hAnsi="Times New Roman" w:cs="Times New Roman"/>
          <w:sz w:val="36"/>
          <w:szCs w:val="36"/>
        </w:rPr>
      </w:pPr>
    </w:p>
    <w:p w14:paraId="06DDC612" w14:textId="77777777" w:rsidR="002B72BE" w:rsidRDefault="00E42D79" w:rsidP="00E42D79">
      <w:pPr>
        <w:jc w:val="center"/>
        <w:rPr>
          <w:rFonts w:ascii="Times New Roman" w:hAnsi="Times New Roman" w:cs="Times New Roman"/>
          <w:b/>
          <w:i/>
          <w:color w:val="000000" w:themeColor="text1"/>
          <w:sz w:val="36"/>
          <w:szCs w:val="36"/>
        </w:rPr>
      </w:pPr>
      <w:r w:rsidRPr="004D38CF">
        <w:rPr>
          <w:rFonts w:ascii="Times New Roman" w:hAnsi="Times New Roman" w:cs="Times New Roman"/>
          <w:b/>
          <w:i/>
          <w:color w:val="000000" w:themeColor="text1"/>
          <w:sz w:val="36"/>
          <w:szCs w:val="36"/>
        </w:rPr>
        <w:t xml:space="preserve">Transposition </w:t>
      </w:r>
      <w:r w:rsidR="002B72BE">
        <w:rPr>
          <w:rFonts w:ascii="Times New Roman" w:hAnsi="Times New Roman" w:cs="Times New Roman"/>
          <w:b/>
          <w:i/>
          <w:color w:val="000000" w:themeColor="text1"/>
          <w:sz w:val="36"/>
          <w:szCs w:val="36"/>
        </w:rPr>
        <w:t xml:space="preserve">et mise en œuvre </w:t>
      </w:r>
      <w:r w:rsidRPr="004D38CF">
        <w:rPr>
          <w:rFonts w:ascii="Times New Roman" w:hAnsi="Times New Roman" w:cs="Times New Roman"/>
          <w:b/>
          <w:i/>
          <w:color w:val="000000" w:themeColor="text1"/>
          <w:sz w:val="36"/>
          <w:szCs w:val="36"/>
        </w:rPr>
        <w:t xml:space="preserve">des directives </w:t>
      </w:r>
      <w:r w:rsidR="002B72BE">
        <w:rPr>
          <w:rFonts w:ascii="Times New Roman" w:hAnsi="Times New Roman" w:cs="Times New Roman"/>
          <w:b/>
          <w:i/>
          <w:color w:val="000000" w:themeColor="text1"/>
          <w:sz w:val="36"/>
          <w:szCs w:val="36"/>
        </w:rPr>
        <w:t>européennes :</w:t>
      </w:r>
    </w:p>
    <w:p w14:paraId="050447BB" w14:textId="77777777" w:rsidR="00E42D79" w:rsidRPr="004D38CF" w:rsidRDefault="002B72BE" w:rsidP="00E42D79">
      <w:pPr>
        <w:jc w:val="center"/>
        <w:rPr>
          <w:rFonts w:ascii="Times New Roman" w:hAnsi="Times New Roman" w:cs="Times New Roman"/>
          <w:b/>
          <w:i/>
          <w:color w:val="000000" w:themeColor="text1"/>
          <w:sz w:val="36"/>
          <w:szCs w:val="36"/>
        </w:rPr>
      </w:pPr>
      <w:proofErr w:type="gramStart"/>
      <w:r>
        <w:rPr>
          <w:rFonts w:ascii="Times New Roman" w:hAnsi="Times New Roman" w:cs="Times New Roman"/>
          <w:b/>
          <w:i/>
          <w:color w:val="000000" w:themeColor="text1"/>
          <w:sz w:val="36"/>
          <w:szCs w:val="36"/>
        </w:rPr>
        <w:t>quelle</w:t>
      </w:r>
      <w:proofErr w:type="gramEnd"/>
      <w:r>
        <w:rPr>
          <w:rFonts w:ascii="Times New Roman" w:hAnsi="Times New Roman" w:cs="Times New Roman"/>
          <w:b/>
          <w:i/>
          <w:color w:val="000000" w:themeColor="text1"/>
          <w:sz w:val="36"/>
          <w:szCs w:val="36"/>
        </w:rPr>
        <w:t xml:space="preserve"> influence de l’</w:t>
      </w:r>
      <w:r w:rsidR="00E42D79" w:rsidRPr="004D38CF">
        <w:rPr>
          <w:rFonts w:ascii="Times New Roman" w:hAnsi="Times New Roman" w:cs="Times New Roman"/>
          <w:b/>
          <w:i/>
          <w:color w:val="000000" w:themeColor="text1"/>
          <w:sz w:val="36"/>
          <w:szCs w:val="36"/>
        </w:rPr>
        <w:t xml:space="preserve">organisation </w:t>
      </w:r>
      <w:r>
        <w:rPr>
          <w:rFonts w:ascii="Times New Roman" w:hAnsi="Times New Roman" w:cs="Times New Roman"/>
          <w:b/>
          <w:i/>
          <w:color w:val="000000" w:themeColor="text1"/>
          <w:sz w:val="36"/>
          <w:szCs w:val="36"/>
        </w:rPr>
        <w:t>étatique ?</w:t>
      </w:r>
    </w:p>
    <w:p w14:paraId="10408456" w14:textId="77777777" w:rsidR="00E42D79" w:rsidRPr="004D38CF" w:rsidRDefault="002B72BE" w:rsidP="00E42D79">
      <w:pPr>
        <w:jc w:val="center"/>
        <w:rPr>
          <w:rFonts w:ascii="Times New Roman" w:hAnsi="Times New Roman" w:cs="Times New Roman"/>
          <w:b/>
          <w:i/>
          <w:color w:val="000000" w:themeColor="text1"/>
          <w:sz w:val="36"/>
          <w:szCs w:val="36"/>
        </w:rPr>
      </w:pPr>
      <w:proofErr w:type="gramStart"/>
      <w:r>
        <w:rPr>
          <w:rFonts w:ascii="Times New Roman" w:hAnsi="Times New Roman" w:cs="Times New Roman"/>
          <w:b/>
          <w:i/>
          <w:color w:val="000000" w:themeColor="text1"/>
          <w:sz w:val="36"/>
          <w:szCs w:val="36"/>
        </w:rPr>
        <w:t>quelle</w:t>
      </w:r>
      <w:proofErr w:type="gramEnd"/>
      <w:r>
        <w:rPr>
          <w:rFonts w:ascii="Times New Roman" w:hAnsi="Times New Roman" w:cs="Times New Roman"/>
          <w:b/>
          <w:i/>
          <w:color w:val="000000" w:themeColor="text1"/>
          <w:sz w:val="36"/>
          <w:szCs w:val="36"/>
        </w:rPr>
        <w:t xml:space="preserve"> influence du </w:t>
      </w:r>
      <w:r w:rsidR="00E42D79" w:rsidRPr="004D38CF">
        <w:rPr>
          <w:rFonts w:ascii="Times New Roman" w:hAnsi="Times New Roman" w:cs="Times New Roman"/>
          <w:b/>
          <w:i/>
          <w:color w:val="000000" w:themeColor="text1"/>
          <w:sz w:val="36"/>
          <w:szCs w:val="36"/>
        </w:rPr>
        <w:t>fait régional</w:t>
      </w:r>
      <w:r>
        <w:rPr>
          <w:rFonts w:ascii="Times New Roman" w:hAnsi="Times New Roman" w:cs="Times New Roman"/>
          <w:b/>
          <w:i/>
          <w:color w:val="000000" w:themeColor="text1"/>
          <w:sz w:val="36"/>
          <w:szCs w:val="36"/>
        </w:rPr>
        <w:t> ?</w:t>
      </w:r>
    </w:p>
    <w:p w14:paraId="1621A1F3" w14:textId="77777777" w:rsidR="004D38CF" w:rsidRPr="004D38CF" w:rsidRDefault="004D38CF" w:rsidP="00E42D79">
      <w:pPr>
        <w:jc w:val="center"/>
        <w:rPr>
          <w:rFonts w:ascii="Times New Roman" w:hAnsi="Times New Roman" w:cs="Times New Roman"/>
          <w:b/>
          <w:i/>
          <w:color w:val="000000" w:themeColor="text1"/>
          <w:sz w:val="36"/>
          <w:szCs w:val="36"/>
        </w:rPr>
      </w:pPr>
    </w:p>
    <w:p w14:paraId="234E9E6D" w14:textId="77777777" w:rsidR="004D38CF" w:rsidRDefault="004D38CF" w:rsidP="004D38CF">
      <w:pPr>
        <w:jc w:val="center"/>
      </w:pPr>
      <w:r>
        <w:rPr>
          <w:noProof/>
          <w:lang w:eastAsia="fr-FR"/>
        </w:rPr>
        <w:drawing>
          <wp:inline distT="0" distB="0" distL="0" distR="0" wp14:anchorId="49845C1C" wp14:editId="75CE75C3">
            <wp:extent cx="2749550" cy="901353"/>
            <wp:effectExtent l="0" t="0" r="0" b="63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a:extLst>
                        <a:ext uri="{28A0092B-C50C-407E-A947-70E740481C1C}">
                          <a14:useLocalDpi xmlns:a14="http://schemas.microsoft.com/office/drawing/2010/main" val="0"/>
                        </a:ext>
                      </a:extLst>
                    </a:blip>
                    <a:stretch>
                      <a:fillRect/>
                    </a:stretch>
                  </pic:blipFill>
                  <pic:spPr>
                    <a:xfrm>
                      <a:off x="0" y="0"/>
                      <a:ext cx="2847700" cy="933528"/>
                    </a:xfrm>
                    <a:prstGeom prst="rect">
                      <a:avLst/>
                    </a:prstGeom>
                  </pic:spPr>
                </pic:pic>
              </a:graphicData>
            </a:graphic>
          </wp:inline>
        </w:drawing>
      </w:r>
      <w:r>
        <w:rPr>
          <w:noProof/>
          <w:lang w:eastAsia="fr-FR"/>
        </w:rPr>
        <w:drawing>
          <wp:inline distT="0" distB="0" distL="0" distR="0" wp14:anchorId="0C88A0A5" wp14:editId="70879582">
            <wp:extent cx="2997200" cy="1207178"/>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56221" cy="1230950"/>
                    </a:xfrm>
                    <a:prstGeom prst="rect">
                      <a:avLst/>
                    </a:prstGeom>
                  </pic:spPr>
                </pic:pic>
              </a:graphicData>
            </a:graphic>
          </wp:inline>
        </w:drawing>
      </w:r>
      <w:r>
        <w:rPr>
          <w:noProof/>
          <w:lang w:eastAsia="fr-FR"/>
        </w:rPr>
        <w:drawing>
          <wp:inline distT="0" distB="0" distL="0" distR="0" wp14:anchorId="1C7F8594" wp14:editId="6334413A">
            <wp:extent cx="1574800" cy="15748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a:extLst>
                        <a:ext uri="{28A0092B-C50C-407E-A947-70E740481C1C}">
                          <a14:useLocalDpi xmlns:a14="http://schemas.microsoft.com/office/drawing/2010/main" val="0"/>
                        </a:ext>
                      </a:extLst>
                    </a:blip>
                    <a:stretch>
                      <a:fillRect/>
                    </a:stretch>
                  </pic:blipFill>
                  <pic:spPr>
                    <a:xfrm>
                      <a:off x="0" y="0"/>
                      <a:ext cx="1574800" cy="1574800"/>
                    </a:xfrm>
                    <a:prstGeom prst="rect">
                      <a:avLst/>
                    </a:prstGeom>
                  </pic:spPr>
                </pic:pic>
              </a:graphicData>
            </a:graphic>
          </wp:inline>
        </w:drawing>
      </w:r>
      <w:r>
        <w:t xml:space="preserve">         </w:t>
      </w:r>
      <w:r>
        <w:rPr>
          <w:noProof/>
          <w:lang w:eastAsia="fr-FR"/>
        </w:rPr>
        <w:drawing>
          <wp:inline distT="0" distB="0" distL="0" distR="0" wp14:anchorId="66B72C54" wp14:editId="1C2C7FB0">
            <wp:extent cx="1524000" cy="15240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a:extLst>
                        <a:ext uri="{28A0092B-C50C-407E-A947-70E740481C1C}">
                          <a14:useLocalDpi xmlns:a14="http://schemas.microsoft.com/office/drawing/2010/main" val="0"/>
                        </a:ext>
                      </a:extLst>
                    </a:blip>
                    <a:stretch>
                      <a:fillRect/>
                    </a:stretch>
                  </pic:blipFill>
                  <pic:spPr>
                    <a:xfrm>
                      <a:off x="0" y="0"/>
                      <a:ext cx="1524000" cy="1524000"/>
                    </a:xfrm>
                    <a:prstGeom prst="rect">
                      <a:avLst/>
                    </a:prstGeom>
                  </pic:spPr>
                </pic:pic>
              </a:graphicData>
            </a:graphic>
          </wp:inline>
        </w:drawing>
      </w:r>
      <w:r>
        <w:t xml:space="preserve">       </w:t>
      </w:r>
      <w:r>
        <w:rPr>
          <w:noProof/>
          <w:lang w:eastAsia="fr-FR"/>
        </w:rPr>
        <w:drawing>
          <wp:inline distT="0" distB="0" distL="0" distR="0" wp14:anchorId="722B4F5D" wp14:editId="0290871E">
            <wp:extent cx="1625600" cy="16256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a:extLst>
                        <a:ext uri="{28A0092B-C50C-407E-A947-70E740481C1C}">
                          <a14:useLocalDpi xmlns:a14="http://schemas.microsoft.com/office/drawing/2010/main" val="0"/>
                        </a:ext>
                      </a:extLst>
                    </a:blip>
                    <a:stretch>
                      <a:fillRect/>
                    </a:stretch>
                  </pic:blipFill>
                  <pic:spPr>
                    <a:xfrm>
                      <a:off x="0" y="0"/>
                      <a:ext cx="1625600" cy="1625600"/>
                    </a:xfrm>
                    <a:prstGeom prst="rect">
                      <a:avLst/>
                    </a:prstGeom>
                  </pic:spPr>
                </pic:pic>
              </a:graphicData>
            </a:graphic>
          </wp:inline>
        </w:drawing>
      </w:r>
    </w:p>
    <w:p w14:paraId="1A208973" w14:textId="77777777" w:rsidR="004D38CF" w:rsidRDefault="004D38CF" w:rsidP="004D38CF">
      <w:pPr>
        <w:jc w:val="center"/>
      </w:pPr>
    </w:p>
    <w:p w14:paraId="6D45D00D" w14:textId="77777777" w:rsidR="004D38CF" w:rsidRDefault="004D38CF" w:rsidP="004D38CF">
      <w:pPr>
        <w:jc w:val="center"/>
      </w:pPr>
    </w:p>
    <w:p w14:paraId="2A4B634F" w14:textId="77777777" w:rsidR="004D38CF" w:rsidRPr="004D38CF" w:rsidRDefault="004D38CF" w:rsidP="004D38CF">
      <w:pPr>
        <w:jc w:val="center"/>
        <w:rPr>
          <w:rFonts w:ascii="Times New Roman" w:hAnsi="Times New Roman" w:cs="Times New Roman"/>
          <w:b/>
          <w:i/>
          <w:color w:val="000000" w:themeColor="text1"/>
          <w:sz w:val="36"/>
          <w:szCs w:val="36"/>
        </w:rPr>
      </w:pPr>
      <w:r w:rsidRPr="004D38CF">
        <w:rPr>
          <w:rFonts w:ascii="Times New Roman" w:hAnsi="Times New Roman" w:cs="Times New Roman"/>
          <w:b/>
          <w:i/>
          <w:color w:val="000000" w:themeColor="text1"/>
          <w:sz w:val="36"/>
          <w:szCs w:val="36"/>
        </w:rPr>
        <w:t>CRDEI –</w:t>
      </w:r>
      <w:r>
        <w:rPr>
          <w:rFonts w:ascii="Times New Roman" w:hAnsi="Times New Roman" w:cs="Times New Roman"/>
          <w:b/>
          <w:i/>
          <w:color w:val="000000" w:themeColor="text1"/>
          <w:sz w:val="36"/>
          <w:szCs w:val="36"/>
        </w:rPr>
        <w:t xml:space="preserve"> </w:t>
      </w:r>
      <w:r w:rsidRPr="004D38CF">
        <w:rPr>
          <w:rFonts w:ascii="Times New Roman" w:hAnsi="Times New Roman" w:cs="Times New Roman"/>
          <w:b/>
          <w:i/>
          <w:color w:val="000000" w:themeColor="text1"/>
          <w:sz w:val="36"/>
          <w:szCs w:val="36"/>
        </w:rPr>
        <w:t>OMIJ – CDRE –</w:t>
      </w:r>
      <w:r>
        <w:rPr>
          <w:rFonts w:ascii="Times New Roman" w:hAnsi="Times New Roman" w:cs="Times New Roman"/>
          <w:b/>
          <w:i/>
          <w:color w:val="000000" w:themeColor="text1"/>
          <w:sz w:val="36"/>
          <w:szCs w:val="36"/>
        </w:rPr>
        <w:t xml:space="preserve"> </w:t>
      </w:r>
      <w:r w:rsidRPr="004D38CF">
        <w:rPr>
          <w:rFonts w:ascii="Times New Roman" w:hAnsi="Times New Roman" w:cs="Times New Roman"/>
          <w:b/>
          <w:i/>
          <w:color w:val="000000" w:themeColor="text1"/>
          <w:sz w:val="36"/>
          <w:szCs w:val="36"/>
        </w:rPr>
        <w:t>Institut de Droit Public – Centre d’Études Juridiques et Politiques</w:t>
      </w:r>
    </w:p>
    <w:p w14:paraId="292D866C" w14:textId="77777777" w:rsidR="004D38CF" w:rsidRPr="004D38CF" w:rsidRDefault="004D38CF" w:rsidP="00E42D79">
      <w:pPr>
        <w:jc w:val="center"/>
        <w:rPr>
          <w:rFonts w:ascii="Times New Roman" w:hAnsi="Times New Roman" w:cs="Times New Roman"/>
          <w:b/>
          <w:i/>
          <w:color w:val="000000" w:themeColor="text1"/>
        </w:rPr>
      </w:pPr>
    </w:p>
    <w:p w14:paraId="528AA3F7" w14:textId="77777777" w:rsidR="00E42D79" w:rsidRDefault="00E42D79" w:rsidP="00E42D79">
      <w:pPr>
        <w:jc w:val="both"/>
      </w:pPr>
    </w:p>
    <w:p w14:paraId="2BC1268E" w14:textId="77777777" w:rsidR="00E42D79" w:rsidRDefault="00E42D79" w:rsidP="00E42D79">
      <w:pPr>
        <w:jc w:val="both"/>
      </w:pPr>
      <w:r>
        <w:t>Le processus de transposition des directives a fait l’objet d’une large attention depuis les débuts de la construction européenne. Dans le champ juridique, l’attention a été particulièrement portée sur l’</w:t>
      </w:r>
      <w:r w:rsidR="0054200C">
        <w:t>invocabilité</w:t>
      </w:r>
      <w:r>
        <w:t xml:space="preserve"> des directives devant le juge national. Ce processus a particulièrement été étudié du point de vue du droit européen. Ce colloque se propose d’étudier ce phénomène du point de vue interne, du point de vue de l’</w:t>
      </w:r>
      <w:r w:rsidR="0054200C">
        <w:t>État</w:t>
      </w:r>
      <w:r>
        <w:t xml:space="preserve"> membre. </w:t>
      </w:r>
    </w:p>
    <w:p w14:paraId="2BF0D7AD" w14:textId="77777777" w:rsidR="00E42D79" w:rsidRDefault="00E42D79" w:rsidP="00E42D79">
      <w:pPr>
        <w:jc w:val="both"/>
      </w:pPr>
    </w:p>
    <w:p w14:paraId="518EC344" w14:textId="77777777" w:rsidR="00E42D79" w:rsidRPr="003B6764" w:rsidRDefault="00E42D79" w:rsidP="00E42D79">
      <w:pPr>
        <w:jc w:val="both"/>
      </w:pPr>
      <w:r>
        <w:t xml:space="preserve">Classiquement, l’organisation constitutionnelle interne d’un </w:t>
      </w:r>
      <w:r w:rsidR="0054200C">
        <w:t>État</w:t>
      </w:r>
      <w:r>
        <w:t xml:space="preserve"> membre n’est pas un élément pertinent à prendre en compte du point de vue du droit de l’Union pour apprécier l’effectivité du processus de transposition. Or, il peut être regardé comme un temps d’expression d’interactions, non seulement entre le niveau européen et le niveau national, mais aussi entre le niveau national et le niveau </w:t>
      </w:r>
      <w:r w:rsidR="0054200C">
        <w:t>infranational</w:t>
      </w:r>
      <w:r>
        <w:t>, et même au niveau horizontal entre les collectivités infra-étatiques elles-mêmes. Ainsi, en fonction des formes d’</w:t>
      </w:r>
      <w:r w:rsidR="0054200C">
        <w:t>État</w:t>
      </w:r>
      <w:r>
        <w:t xml:space="preserve">, l’articulation entre les niveaux ne sera pas engagée de la même manière, et, selon les sujets abordés, l’étape de la transposition pourra être source de tensions entre le niveau national et local. Dans cette perspective, les obligations découlant du droit de l’Union européenne pourraient être l’occasion de résurgences ou de cristallisation de ces frictions. Il s’agira alors de s’interroger sur les mécanismes et voies de résolution de ces tensions au niveau national </w:t>
      </w:r>
      <w:r>
        <w:lastRenderedPageBreak/>
        <w:t xml:space="preserve">(structure ministérielle, structure de coordination </w:t>
      </w:r>
      <w:r w:rsidR="0054200C">
        <w:t>État</w:t>
      </w:r>
      <w:r>
        <w:t>/niveau local, recours juridictionnel notamment constitutionnel…). De même, dans une perspective horizontale, l’intervention de différents acteurs infra-étatiques peut engendrer des incohérences au sein de l’</w:t>
      </w:r>
      <w:r w:rsidR="0054200C">
        <w:t>État</w:t>
      </w:r>
      <w:r>
        <w:t xml:space="preserve">, et impliquer des mécanismes de suivi de la transposition, </w:t>
      </w:r>
      <w:r w:rsidR="002B72BE">
        <w:t>voire</w:t>
      </w:r>
      <w:r>
        <w:t xml:space="preserve"> de résolution des divergences.  En outre, </w:t>
      </w:r>
      <w:r w:rsidRPr="003B6764">
        <w:t xml:space="preserve">des principes fondamentaux de l’ordre juridique européen, tels que le principe de subsidiarité ou le principe de coopération loyale, peuvent jouer un rôle à la fois pour encadrer et réguler la répartition des compétences au niveau interne. Dans cette perspective, les collectivités infra-étatiques pourraient-elles voir leur responsabilité engagée </w:t>
      </w:r>
      <w:r w:rsidR="00797B47" w:rsidRPr="003B6764">
        <w:t xml:space="preserve">au niveau national </w:t>
      </w:r>
      <w:r w:rsidRPr="003B6764">
        <w:t xml:space="preserve">en cas de défaut ou d’insuffisance de transposition ? Ou peuvent-elles </w:t>
      </w:r>
      <w:r w:rsidR="00797B47" w:rsidRPr="003B6764">
        <w:t xml:space="preserve">être tenue d’agir afin </w:t>
      </w:r>
      <w:r w:rsidRPr="003B6764">
        <w:t xml:space="preserve">de suppléer le niveau central ? </w:t>
      </w:r>
    </w:p>
    <w:p w14:paraId="6CE5E31D" w14:textId="77777777" w:rsidR="00E42D79" w:rsidRPr="003B6764" w:rsidRDefault="00E42D79" w:rsidP="00E42D79">
      <w:pPr>
        <w:jc w:val="both"/>
      </w:pPr>
    </w:p>
    <w:p w14:paraId="4A46C074" w14:textId="77777777" w:rsidR="00E42D79" w:rsidRDefault="00E42D79" w:rsidP="00E42D79">
      <w:pPr>
        <w:jc w:val="both"/>
      </w:pPr>
      <w:r w:rsidRPr="003B6764">
        <w:t>Un autre niveau mérite</w:t>
      </w:r>
      <w:r>
        <w:t xml:space="preserve"> également l’attention. C’est celui de la mise en œuvre des mesures de </w:t>
      </w:r>
      <w:r w:rsidRPr="003B6764">
        <w:t xml:space="preserve">transposition nationales au niveau local. La mise en œuvre se distingue de la transposition, </w:t>
      </w:r>
      <w:r w:rsidR="00797B47" w:rsidRPr="003B6764">
        <w:t>même si</w:t>
      </w:r>
      <w:r w:rsidRPr="003B6764">
        <w:t xml:space="preserve"> elle y est liée, car elle est en même temps un relais essentiel qui conditionne l’effectivité de la norme de l’Union. Au contraire, elle peut être aussi le moment de résurgences de spécificités</w:t>
      </w:r>
      <w:r>
        <w:t>, alors permises, tolérées ou au contraire empêchées, que ce soit par la norme de l’Union et la norme nationale. Ainsi, cette question est liée à celle de la marge de manœuvre reconnue au niveau local, comme à celle de l’acceptation et de l’articulation des spécificités locales. On peut dès lors se demander si une telle diversité remet en cause ou non la qualité du processus de transposition</w:t>
      </w:r>
      <w:r w:rsidR="000D20FD">
        <w:t xml:space="preserve"> </w:t>
      </w:r>
      <w:r w:rsidR="000D20FD" w:rsidRPr="00B861EB">
        <w:rPr>
          <w:color w:val="000000" w:themeColor="text1"/>
        </w:rPr>
        <w:t>et ainsi l’effectivité des politiques européennes dans des domaines où cette exigence est essentielle comme celui de la protection de l’environnement par exemple</w:t>
      </w:r>
      <w:r>
        <w:t>. De même, la voie contentieuse, que ce soit devant les juridictions nationales ou européenne est de plus en plus régulièrement usitée par les collectivités infra-étatiques pour mettre en lumière les lacunes ou défaillances de l’</w:t>
      </w:r>
      <w:r w:rsidR="0054200C">
        <w:t>État</w:t>
      </w:r>
      <w:r>
        <w:t xml:space="preserve"> central dans la mise en œuvre du droit de l’Union (par exemple en matière environnementale).</w:t>
      </w:r>
    </w:p>
    <w:p w14:paraId="1751F1CB" w14:textId="77777777" w:rsidR="00E42D79" w:rsidRDefault="00E42D79" w:rsidP="00E42D79">
      <w:pPr>
        <w:jc w:val="both"/>
      </w:pPr>
    </w:p>
    <w:p w14:paraId="3DB5AF72" w14:textId="77777777" w:rsidR="00DE1AC8" w:rsidRDefault="00E42D79" w:rsidP="00DE1AC8">
      <w:pPr>
        <w:jc w:val="both"/>
      </w:pPr>
      <w:r w:rsidRPr="003B6764">
        <w:t>L</w:t>
      </w:r>
      <w:r w:rsidR="00797B47" w:rsidRPr="003B6764">
        <w:t xml:space="preserve">a manifestation, </w:t>
      </w:r>
      <w:r w:rsidR="00DE1AC8" w:rsidRPr="003B6764">
        <w:t xml:space="preserve">qui sera </w:t>
      </w:r>
      <w:r w:rsidR="00797B47" w:rsidRPr="003B6764">
        <w:t xml:space="preserve">organisée à l’Institut de Droit et d’Économie de Périgueux à l’automne 2021, </w:t>
      </w:r>
      <w:r w:rsidR="00DE1AC8" w:rsidRPr="003B6764">
        <w:t>permettra de livrer des analyses comparatives et croisées sur diverses thématiques parmi lesquelles pourront notamment être abordées :</w:t>
      </w:r>
    </w:p>
    <w:p w14:paraId="7E1872D0" w14:textId="77777777" w:rsidR="00DE1AC8" w:rsidRDefault="00DE1AC8" w:rsidP="00797B47">
      <w:pPr>
        <w:jc w:val="both"/>
      </w:pPr>
    </w:p>
    <w:p w14:paraId="0AF9A3EE" w14:textId="77777777" w:rsidR="00E42D79" w:rsidRDefault="00E42D79" w:rsidP="00DE1AC8">
      <w:pPr>
        <w:pStyle w:val="Paragraphedeliste"/>
        <w:numPr>
          <w:ilvl w:val="0"/>
          <w:numId w:val="2"/>
        </w:numPr>
        <w:jc w:val="both"/>
      </w:pPr>
      <w:proofErr w:type="gramStart"/>
      <w:r>
        <w:t>cas</w:t>
      </w:r>
      <w:proofErr w:type="gramEnd"/>
      <w:r>
        <w:t xml:space="preserve"> d’étude du processus de transposition au sein d’un </w:t>
      </w:r>
      <w:r w:rsidR="0054200C">
        <w:t>État</w:t>
      </w:r>
      <w:r>
        <w:t xml:space="preserve"> fédéral, régional, unitaire</w:t>
      </w:r>
    </w:p>
    <w:p w14:paraId="2612996F" w14:textId="77777777" w:rsidR="00E42D79" w:rsidRDefault="00E42D79" w:rsidP="00DE1AC8">
      <w:pPr>
        <w:pStyle w:val="Paragraphedeliste"/>
        <w:numPr>
          <w:ilvl w:val="0"/>
          <w:numId w:val="2"/>
        </w:numPr>
        <w:jc w:val="both"/>
      </w:pPr>
      <w:proofErr w:type="gramStart"/>
      <w:r>
        <w:t>approche</w:t>
      </w:r>
      <w:proofErr w:type="gramEnd"/>
      <w:r>
        <w:t xml:space="preserve"> thématique : analyse du processus de transposition d’une directive dans au moins deux </w:t>
      </w:r>
      <w:r w:rsidR="0054200C">
        <w:t>États</w:t>
      </w:r>
      <w:r>
        <w:t xml:space="preserve"> membres</w:t>
      </w:r>
    </w:p>
    <w:p w14:paraId="3295051A" w14:textId="77777777" w:rsidR="00E42D79" w:rsidRDefault="00E42D79" w:rsidP="00DE1AC8">
      <w:pPr>
        <w:pStyle w:val="Paragraphedeliste"/>
        <w:numPr>
          <w:ilvl w:val="0"/>
          <w:numId w:val="2"/>
        </w:numPr>
        <w:jc w:val="both"/>
      </w:pPr>
      <w:proofErr w:type="gramStart"/>
      <w:r>
        <w:t>la</w:t>
      </w:r>
      <w:proofErr w:type="gramEnd"/>
      <w:r>
        <w:t xml:space="preserve"> transposition des directives dans une perspective transfrontalière</w:t>
      </w:r>
    </w:p>
    <w:p w14:paraId="19F17EC1" w14:textId="77777777" w:rsidR="00E42D79" w:rsidRDefault="00E42D79" w:rsidP="00DE1AC8">
      <w:pPr>
        <w:pStyle w:val="Paragraphedeliste"/>
        <w:numPr>
          <w:ilvl w:val="0"/>
          <w:numId w:val="2"/>
        </w:numPr>
        <w:jc w:val="both"/>
      </w:pPr>
      <w:proofErr w:type="gramStart"/>
      <w:r>
        <w:t>la</w:t>
      </w:r>
      <w:proofErr w:type="gramEnd"/>
      <w:r>
        <w:t xml:space="preserve"> mise en œuvre des mesures de transpos</w:t>
      </w:r>
      <w:r w:rsidR="0054200C">
        <w:t>i</w:t>
      </w:r>
      <w:r>
        <w:t>tion nationales au niveau local</w:t>
      </w:r>
    </w:p>
    <w:p w14:paraId="60987074" w14:textId="77777777" w:rsidR="00E42D79" w:rsidRDefault="00E42D79" w:rsidP="00DE1AC8">
      <w:pPr>
        <w:pStyle w:val="Paragraphedeliste"/>
        <w:numPr>
          <w:ilvl w:val="0"/>
          <w:numId w:val="2"/>
        </w:numPr>
        <w:jc w:val="both"/>
      </w:pPr>
      <w:proofErr w:type="gramStart"/>
      <w:r>
        <w:t>analyse</w:t>
      </w:r>
      <w:proofErr w:type="gramEnd"/>
      <w:r>
        <w:t xml:space="preserve"> des principes de subsidiarité, de coopération loyale…</w:t>
      </w:r>
    </w:p>
    <w:p w14:paraId="531EF0C6" w14:textId="77777777" w:rsidR="00E42D79" w:rsidRDefault="00E42D79" w:rsidP="00DE1AC8">
      <w:pPr>
        <w:pStyle w:val="Paragraphedeliste"/>
        <w:numPr>
          <w:ilvl w:val="0"/>
          <w:numId w:val="2"/>
        </w:numPr>
        <w:jc w:val="both"/>
      </w:pPr>
      <w:proofErr w:type="gramStart"/>
      <w:r>
        <w:t>analyse</w:t>
      </w:r>
      <w:proofErr w:type="gramEnd"/>
      <w:r>
        <w:t xml:space="preserve"> des actions contentieuses initiées par les collectivités locales, ou à l’encontre des collectivités locales</w:t>
      </w:r>
    </w:p>
    <w:p w14:paraId="6507C594" w14:textId="77777777" w:rsidR="00E074E5" w:rsidRDefault="00E074E5"/>
    <w:p w14:paraId="76339CF3" w14:textId="77777777" w:rsidR="0054200C" w:rsidRPr="0054200C" w:rsidRDefault="0054200C" w:rsidP="0054200C">
      <w:pPr>
        <w:jc w:val="both"/>
      </w:pPr>
      <w:r w:rsidRPr="003B6764">
        <w:t>Les propositions de contributions peuvent donc porter sur les thématiques évoquées mais, cette liste n’étant pas exhaustive, les contributions peuvent permettre d’identifier d’autres concepts ou principes qui apporteraient à la compréhension du secteur tant dans ces dimensions juridiques qu’économiques.</w:t>
      </w:r>
    </w:p>
    <w:p w14:paraId="3518FC7B" w14:textId="77777777" w:rsidR="0054200C" w:rsidRPr="0054200C" w:rsidRDefault="0054200C" w:rsidP="0054200C">
      <w:pPr>
        <w:jc w:val="both"/>
        <w:rPr>
          <w:b/>
          <w:bCs/>
        </w:rPr>
      </w:pPr>
    </w:p>
    <w:p w14:paraId="1A9ACB3C" w14:textId="6ECD6BA1" w:rsidR="0054200C" w:rsidRPr="003B6764" w:rsidRDefault="0054200C" w:rsidP="0054200C">
      <w:pPr>
        <w:jc w:val="both"/>
        <w:rPr>
          <w:b/>
          <w:bCs/>
        </w:rPr>
      </w:pPr>
      <w:r w:rsidRPr="003B6764">
        <w:rPr>
          <w:b/>
          <w:bCs/>
        </w:rPr>
        <w:t>Les propositions de contributions (</w:t>
      </w:r>
      <w:r w:rsidRPr="003B6764">
        <w:rPr>
          <w:b/>
          <w:bCs/>
          <w:i/>
          <w:iCs/>
          <w:u w:val="single"/>
        </w:rPr>
        <w:t>6000 signes maximum</w:t>
      </w:r>
      <w:r w:rsidRPr="003B6764">
        <w:rPr>
          <w:b/>
          <w:bCs/>
        </w:rPr>
        <w:t xml:space="preserve">) sont à adresser pour le </w:t>
      </w:r>
      <w:r w:rsidR="00B861EB" w:rsidRPr="00B861EB">
        <w:rPr>
          <w:b/>
          <w:bCs/>
          <w:u w:val="single"/>
        </w:rPr>
        <w:t>1</w:t>
      </w:r>
      <w:r w:rsidR="00B861EB" w:rsidRPr="00B861EB">
        <w:rPr>
          <w:b/>
          <w:bCs/>
          <w:u w:val="single"/>
          <w:vertAlign w:val="superscript"/>
        </w:rPr>
        <w:t>er</w:t>
      </w:r>
      <w:r w:rsidRPr="00B861EB">
        <w:rPr>
          <w:b/>
          <w:bCs/>
          <w:u w:val="single"/>
        </w:rPr>
        <w:t xml:space="preserve"> </w:t>
      </w:r>
      <w:r w:rsidR="00B861EB" w:rsidRPr="00B861EB">
        <w:rPr>
          <w:b/>
          <w:bCs/>
          <w:u w:val="single"/>
        </w:rPr>
        <w:t>mai</w:t>
      </w:r>
      <w:r w:rsidRPr="00B861EB">
        <w:rPr>
          <w:b/>
          <w:bCs/>
          <w:u w:val="single"/>
        </w:rPr>
        <w:t xml:space="preserve"> 2021</w:t>
      </w:r>
      <w:r w:rsidRPr="003B6764">
        <w:rPr>
          <w:b/>
          <w:bCs/>
        </w:rPr>
        <w:t xml:space="preserve"> à l’adresse suivante : </w:t>
      </w:r>
      <w:hyperlink r:id="rId10" w:history="1">
        <w:r w:rsidRPr="003B6764">
          <w:rPr>
            <w:rStyle w:val="Lienhypertexte"/>
            <w:b/>
            <w:bCs/>
          </w:rPr>
          <w:t>sebastien.martin@u-bordeaux.fr</w:t>
        </w:r>
      </w:hyperlink>
    </w:p>
    <w:p w14:paraId="3F737A63" w14:textId="77777777" w:rsidR="0054200C" w:rsidRDefault="0054200C" w:rsidP="00850E58">
      <w:pPr>
        <w:jc w:val="both"/>
        <w:rPr>
          <w:b/>
          <w:bCs/>
        </w:rPr>
      </w:pPr>
      <w:r w:rsidRPr="003B6764">
        <w:rPr>
          <w:b/>
          <w:bCs/>
        </w:rPr>
        <w:lastRenderedPageBreak/>
        <w:t>Les auteurs seront informés début juin de la suite donnée à leur proposition de communication.</w:t>
      </w:r>
    </w:p>
    <w:p w14:paraId="4C2B0DA4" w14:textId="77777777" w:rsidR="003B6764" w:rsidRDefault="003B6764" w:rsidP="00850E58">
      <w:pPr>
        <w:jc w:val="both"/>
        <w:rPr>
          <w:b/>
          <w:bCs/>
        </w:rPr>
      </w:pPr>
      <w:r>
        <w:rPr>
          <w:b/>
          <w:bCs/>
        </w:rPr>
        <w:t>Les actes du Colloque feront l’objet d’une publication.</w:t>
      </w:r>
    </w:p>
    <w:p w14:paraId="2AB73913" w14:textId="77777777" w:rsidR="003B6764" w:rsidRDefault="003B6764" w:rsidP="00850E58">
      <w:pPr>
        <w:jc w:val="both"/>
        <w:rPr>
          <w:b/>
          <w:bCs/>
        </w:rPr>
      </w:pPr>
    </w:p>
    <w:p w14:paraId="52156857" w14:textId="77777777" w:rsidR="003B6764" w:rsidRDefault="003B6764" w:rsidP="00850E58">
      <w:pPr>
        <w:jc w:val="both"/>
        <w:rPr>
          <w:b/>
          <w:bCs/>
        </w:rPr>
      </w:pPr>
      <w:r>
        <w:rPr>
          <w:b/>
          <w:bCs/>
        </w:rPr>
        <w:t>Organisation du colloque</w:t>
      </w:r>
    </w:p>
    <w:p w14:paraId="1A50B4AA" w14:textId="77777777" w:rsidR="003B6764" w:rsidRPr="003B6764" w:rsidRDefault="003B6764" w:rsidP="00850E58">
      <w:pPr>
        <w:jc w:val="both"/>
        <w:rPr>
          <w:bCs/>
        </w:rPr>
      </w:pPr>
      <w:r w:rsidRPr="003B6764">
        <w:rPr>
          <w:bCs/>
        </w:rPr>
        <w:t>Emilie Chevalier, Maitre de conférences en droit public – Université de Limoges</w:t>
      </w:r>
    </w:p>
    <w:p w14:paraId="252F962E" w14:textId="77777777" w:rsidR="003B6764" w:rsidRPr="003B6764" w:rsidRDefault="003B6764" w:rsidP="00850E58">
      <w:pPr>
        <w:jc w:val="both"/>
        <w:rPr>
          <w:bCs/>
        </w:rPr>
      </w:pPr>
      <w:r w:rsidRPr="003B6764">
        <w:rPr>
          <w:bCs/>
        </w:rPr>
        <w:t>Sébastien Martin, Maitre de conférences en droit public – Université de Bordeaux</w:t>
      </w:r>
    </w:p>
    <w:p w14:paraId="2DA133EF" w14:textId="77777777" w:rsidR="003B6764" w:rsidRPr="003B6764" w:rsidRDefault="003B6764" w:rsidP="00850E58">
      <w:pPr>
        <w:jc w:val="both"/>
        <w:rPr>
          <w:bCs/>
        </w:rPr>
      </w:pPr>
    </w:p>
    <w:p w14:paraId="1C522DC5" w14:textId="77777777" w:rsidR="003B6764" w:rsidRDefault="003B6764" w:rsidP="00850E58">
      <w:pPr>
        <w:jc w:val="both"/>
        <w:rPr>
          <w:b/>
          <w:bCs/>
        </w:rPr>
      </w:pPr>
      <w:r>
        <w:rPr>
          <w:b/>
          <w:bCs/>
        </w:rPr>
        <w:t>Comité scientifique</w:t>
      </w:r>
    </w:p>
    <w:p w14:paraId="17B29F28" w14:textId="77777777" w:rsidR="003B6764" w:rsidRPr="003B6764" w:rsidRDefault="003B6764" w:rsidP="003B6764">
      <w:pPr>
        <w:jc w:val="both"/>
        <w:rPr>
          <w:bCs/>
        </w:rPr>
      </w:pPr>
      <w:r w:rsidRPr="003B6764">
        <w:rPr>
          <w:bCs/>
        </w:rPr>
        <w:t>Emilie Chevalier, Maitre de conférences en droit public – Université de Limoges</w:t>
      </w:r>
    </w:p>
    <w:p w14:paraId="3A908B09" w14:textId="77777777" w:rsidR="00950254" w:rsidRDefault="00950254" w:rsidP="003B6764">
      <w:pPr>
        <w:jc w:val="both"/>
        <w:rPr>
          <w:bCs/>
        </w:rPr>
      </w:pPr>
      <w:r>
        <w:rPr>
          <w:bCs/>
        </w:rPr>
        <w:t xml:space="preserve">Olivier Dubos, Professeur </w:t>
      </w:r>
      <w:r w:rsidRPr="003B6764">
        <w:rPr>
          <w:bCs/>
        </w:rPr>
        <w:t>de droit public – Université de</w:t>
      </w:r>
      <w:r>
        <w:rPr>
          <w:bCs/>
        </w:rPr>
        <w:t xml:space="preserve"> Bordeaux</w:t>
      </w:r>
    </w:p>
    <w:p w14:paraId="5632B960" w14:textId="77777777" w:rsidR="003B6764" w:rsidRPr="003B6764" w:rsidRDefault="003B6764" w:rsidP="003B6764">
      <w:pPr>
        <w:jc w:val="both"/>
        <w:rPr>
          <w:bCs/>
        </w:rPr>
      </w:pPr>
      <w:r w:rsidRPr="003B6764">
        <w:rPr>
          <w:bCs/>
        </w:rPr>
        <w:t>Francette Fines, Professeur de droit public – Université de la Rochelle</w:t>
      </w:r>
    </w:p>
    <w:p w14:paraId="72FE814C" w14:textId="77777777" w:rsidR="003B6764" w:rsidRPr="003B6764" w:rsidRDefault="003B6764" w:rsidP="003B6764">
      <w:pPr>
        <w:jc w:val="both"/>
        <w:rPr>
          <w:bCs/>
        </w:rPr>
      </w:pPr>
      <w:r w:rsidRPr="003B6764">
        <w:rPr>
          <w:bCs/>
        </w:rPr>
        <w:t>François-Vivien Guiot, Maitre de conférences en droit public – Université de Pau et des Pays de l’Adour</w:t>
      </w:r>
    </w:p>
    <w:p w14:paraId="28B33041" w14:textId="77777777" w:rsidR="003B6764" w:rsidRDefault="003B6764" w:rsidP="003B6764">
      <w:pPr>
        <w:jc w:val="both"/>
        <w:rPr>
          <w:bCs/>
        </w:rPr>
      </w:pPr>
      <w:r w:rsidRPr="003B6764">
        <w:rPr>
          <w:bCs/>
        </w:rPr>
        <w:t>Sébastien Martin, Maitre de conférences en droit public – Université de Bordeaux</w:t>
      </w:r>
    </w:p>
    <w:p w14:paraId="7D4EF9F6" w14:textId="77777777" w:rsidR="00950254" w:rsidRPr="003B6764" w:rsidRDefault="00950254" w:rsidP="003B6764">
      <w:pPr>
        <w:jc w:val="both"/>
        <w:rPr>
          <w:bCs/>
        </w:rPr>
      </w:pPr>
      <w:r>
        <w:rPr>
          <w:bCs/>
        </w:rPr>
        <w:t xml:space="preserve">Clémentine </w:t>
      </w:r>
      <w:proofErr w:type="spellStart"/>
      <w:r>
        <w:rPr>
          <w:bCs/>
        </w:rPr>
        <w:t>Mazille</w:t>
      </w:r>
      <w:proofErr w:type="spellEnd"/>
      <w:r>
        <w:rPr>
          <w:bCs/>
        </w:rPr>
        <w:t xml:space="preserve">, </w:t>
      </w:r>
      <w:r w:rsidRPr="003B6764">
        <w:rPr>
          <w:bCs/>
        </w:rPr>
        <w:t>Maitre de conférences en droit public – Université de Pau et des Pays de l’Adour</w:t>
      </w:r>
    </w:p>
    <w:p w14:paraId="59D85617" w14:textId="77777777" w:rsidR="003B6764" w:rsidRPr="003B6764" w:rsidRDefault="003B6764" w:rsidP="003B6764">
      <w:pPr>
        <w:jc w:val="both"/>
        <w:rPr>
          <w:bCs/>
        </w:rPr>
      </w:pPr>
      <w:proofErr w:type="spellStart"/>
      <w:r w:rsidRPr="003B6764">
        <w:rPr>
          <w:bCs/>
        </w:rPr>
        <w:t>Federica</w:t>
      </w:r>
      <w:proofErr w:type="spellEnd"/>
      <w:r w:rsidRPr="003B6764">
        <w:rPr>
          <w:bCs/>
        </w:rPr>
        <w:t xml:space="preserve"> </w:t>
      </w:r>
      <w:proofErr w:type="spellStart"/>
      <w:r w:rsidRPr="003B6764">
        <w:rPr>
          <w:bCs/>
        </w:rPr>
        <w:t>Rassu</w:t>
      </w:r>
      <w:proofErr w:type="spellEnd"/>
      <w:r w:rsidRPr="003B6764">
        <w:rPr>
          <w:bCs/>
        </w:rPr>
        <w:t>, Maitre de conférences en droit public – Université de Poitiers</w:t>
      </w:r>
    </w:p>
    <w:p w14:paraId="5B6B96C8" w14:textId="77777777" w:rsidR="003B6764" w:rsidRPr="00850E58" w:rsidRDefault="003B6764" w:rsidP="00850E58">
      <w:pPr>
        <w:jc w:val="both"/>
        <w:rPr>
          <w:b/>
          <w:bCs/>
        </w:rPr>
      </w:pPr>
    </w:p>
    <w:sectPr w:rsidR="003B6764" w:rsidRPr="00850E58" w:rsidSect="0021221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036D88"/>
    <w:multiLevelType w:val="hybridMultilevel"/>
    <w:tmpl w:val="B4C214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9436F4E"/>
    <w:multiLevelType w:val="hybridMultilevel"/>
    <w:tmpl w:val="E7FC4D90"/>
    <w:lvl w:ilvl="0" w:tplc="8BCA51D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30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D79"/>
    <w:rsid w:val="000D20FD"/>
    <w:rsid w:val="00212214"/>
    <w:rsid w:val="0023766E"/>
    <w:rsid w:val="002B72BE"/>
    <w:rsid w:val="003B6764"/>
    <w:rsid w:val="004D38CF"/>
    <w:rsid w:val="004E2214"/>
    <w:rsid w:val="0054200C"/>
    <w:rsid w:val="006B404F"/>
    <w:rsid w:val="00797B47"/>
    <w:rsid w:val="007A10E9"/>
    <w:rsid w:val="00850E58"/>
    <w:rsid w:val="00950254"/>
    <w:rsid w:val="00B861EB"/>
    <w:rsid w:val="00D471D4"/>
    <w:rsid w:val="00DE1AC8"/>
    <w:rsid w:val="00E074E5"/>
    <w:rsid w:val="00E42D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F2D4F10"/>
  <w14:defaultImageDpi w14:val="32767"/>
  <w15:chartTrackingRefBased/>
  <w15:docId w15:val="{99C1DD4C-B542-1D4F-B971-3C195CB50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D7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4200C"/>
    <w:rPr>
      <w:color w:val="0563C1" w:themeColor="hyperlink"/>
      <w:u w:val="single"/>
    </w:rPr>
  </w:style>
  <w:style w:type="character" w:customStyle="1" w:styleId="Mentionnonrsolue1">
    <w:name w:val="Mention non résolue1"/>
    <w:basedOn w:val="Policepardfaut"/>
    <w:uiPriority w:val="99"/>
    <w:rsid w:val="0054200C"/>
    <w:rPr>
      <w:color w:val="605E5C"/>
      <w:shd w:val="clear" w:color="auto" w:fill="E1DFDD"/>
    </w:rPr>
  </w:style>
  <w:style w:type="paragraph" w:styleId="Paragraphedeliste">
    <w:name w:val="List Paragraph"/>
    <w:basedOn w:val="Normal"/>
    <w:uiPriority w:val="34"/>
    <w:qFormat/>
    <w:rsid w:val="00DE1A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sebastien.martin@u-bordeaux.fr" TargetMode="External"/><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935</Words>
  <Characters>5146</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Emilie Chevalier</dc:creator>
  <cp:keywords/>
  <dc:description/>
  <cp:lastModifiedBy>Olivia TAMBOU</cp:lastModifiedBy>
  <cp:revision>2</cp:revision>
  <dcterms:created xsi:type="dcterms:W3CDTF">2021-03-12T15:42:00Z</dcterms:created>
  <dcterms:modified xsi:type="dcterms:W3CDTF">2021-03-12T15:42:00Z</dcterms:modified>
</cp:coreProperties>
</file>